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8DCF7" w14:textId="62A50A00" w:rsidR="008E11DA" w:rsidRPr="00127057" w:rsidRDefault="000208AF" w:rsidP="008E11DA">
      <w:pPr>
        <w:pStyle w:val="Naslov4"/>
        <w:spacing w:after="0"/>
      </w:pPr>
      <w:r>
        <w:t>109 15 ZATVORI I KAZNIONICE</w:t>
      </w:r>
    </w:p>
    <w:p w14:paraId="61159421" w14:textId="77777777" w:rsidR="001C051D" w:rsidRDefault="001C051D" w:rsidP="001C051D">
      <w:pPr>
        <w:rPr>
          <w:i/>
          <w:sz w:val="24"/>
          <w:szCs w:val="24"/>
          <w:lang w:val="hr-HR"/>
        </w:rPr>
      </w:pPr>
    </w:p>
    <w:p w14:paraId="7521AF68" w14:textId="15EB46BE" w:rsidR="001C051D" w:rsidRPr="005502DA" w:rsidRDefault="005502DA" w:rsidP="001C051D">
      <w:pPr>
        <w:rPr>
          <w:sz w:val="24"/>
          <w:szCs w:val="24"/>
          <w:lang w:val="hr-HR"/>
        </w:rPr>
      </w:pPr>
      <w:r w:rsidRPr="005502DA">
        <w:rPr>
          <w:sz w:val="24"/>
          <w:szCs w:val="24"/>
          <w:lang w:val="hr-HR"/>
        </w:rPr>
        <w:t>Zatvor u</w:t>
      </w:r>
      <w:r>
        <w:rPr>
          <w:sz w:val="24"/>
          <w:szCs w:val="24"/>
          <w:lang w:val="hr-HR"/>
        </w:rPr>
        <w:t xml:space="preserve"> Bjelovaru je kazneno tijelo – </w:t>
      </w:r>
      <w:r w:rsidR="001C051D" w:rsidRPr="005502DA">
        <w:rPr>
          <w:sz w:val="24"/>
          <w:szCs w:val="24"/>
          <w:lang w:val="hr-HR"/>
        </w:rPr>
        <w:t>institucija</w:t>
      </w:r>
      <w:r>
        <w:rPr>
          <w:sz w:val="24"/>
          <w:szCs w:val="24"/>
          <w:lang w:val="hr-HR"/>
        </w:rPr>
        <w:t xml:space="preserve"> zatvorenoga tipa u kojoj se izvršavaju </w:t>
      </w:r>
      <w:r w:rsidR="003B3543">
        <w:rPr>
          <w:sz w:val="24"/>
          <w:szCs w:val="24"/>
          <w:lang w:val="hr-HR"/>
        </w:rPr>
        <w:t>izrečene kazne počiniteljima u kaznenom, prekršajnom ili drugom postupku, te obavlja</w:t>
      </w:r>
      <w:r w:rsidR="00E0508E">
        <w:rPr>
          <w:sz w:val="24"/>
          <w:szCs w:val="24"/>
          <w:lang w:val="hr-HR"/>
        </w:rPr>
        <w:t>ju</w:t>
      </w:r>
      <w:r w:rsidR="003B3543">
        <w:rPr>
          <w:sz w:val="24"/>
          <w:szCs w:val="24"/>
          <w:lang w:val="hr-HR"/>
        </w:rPr>
        <w:t xml:space="preserve"> poslov</w:t>
      </w:r>
      <w:r w:rsidR="00E0508E">
        <w:rPr>
          <w:sz w:val="24"/>
          <w:szCs w:val="24"/>
          <w:lang w:val="hr-HR"/>
        </w:rPr>
        <w:t>i</w:t>
      </w:r>
      <w:r w:rsidR="003B3543">
        <w:rPr>
          <w:sz w:val="24"/>
          <w:szCs w:val="24"/>
          <w:lang w:val="hr-HR"/>
        </w:rPr>
        <w:t xml:space="preserve"> iz  nadležnosti i u skladu sa Zakon</w:t>
      </w:r>
      <w:r w:rsidR="000570B4">
        <w:rPr>
          <w:sz w:val="24"/>
          <w:szCs w:val="24"/>
          <w:lang w:val="hr-HR"/>
        </w:rPr>
        <w:t>om o izvršavanju kazne zatvora. Spomenuti poslovi podrazumijevaju</w:t>
      </w:r>
      <w:r w:rsidR="009A300C">
        <w:rPr>
          <w:sz w:val="24"/>
          <w:szCs w:val="24"/>
          <w:lang w:val="hr-HR"/>
        </w:rPr>
        <w:t xml:space="preserve"> organizaciju života zatvorenika </w:t>
      </w:r>
      <w:r w:rsidR="000570B4">
        <w:rPr>
          <w:sz w:val="24"/>
          <w:szCs w:val="24"/>
          <w:lang w:val="hr-HR"/>
        </w:rPr>
        <w:t xml:space="preserve">za vrijeme izvršavanja kazne zatvora </w:t>
      </w:r>
      <w:r w:rsidR="00EA5B49">
        <w:rPr>
          <w:sz w:val="24"/>
          <w:szCs w:val="24"/>
          <w:lang w:val="hr-HR"/>
        </w:rPr>
        <w:t xml:space="preserve">koja podrazumijeva; </w:t>
      </w:r>
      <w:r w:rsidR="003730C8">
        <w:rPr>
          <w:sz w:val="24"/>
          <w:szCs w:val="24"/>
          <w:lang w:val="hr-HR"/>
        </w:rPr>
        <w:t>osiguranje</w:t>
      </w:r>
      <w:r w:rsidR="00EA5B49">
        <w:rPr>
          <w:sz w:val="24"/>
          <w:szCs w:val="24"/>
          <w:lang w:val="hr-HR"/>
        </w:rPr>
        <w:t xml:space="preserve"> </w:t>
      </w:r>
      <w:r w:rsidR="003730C8">
        <w:rPr>
          <w:sz w:val="24"/>
          <w:szCs w:val="24"/>
          <w:lang w:val="hr-HR"/>
        </w:rPr>
        <w:t>odgovarajućeg</w:t>
      </w:r>
      <w:r w:rsidR="001B6C6A">
        <w:rPr>
          <w:sz w:val="24"/>
          <w:szCs w:val="24"/>
          <w:lang w:val="hr-HR"/>
        </w:rPr>
        <w:t xml:space="preserve"> smještaj</w:t>
      </w:r>
      <w:r w:rsidR="003730C8">
        <w:rPr>
          <w:sz w:val="24"/>
          <w:szCs w:val="24"/>
          <w:lang w:val="hr-HR"/>
        </w:rPr>
        <w:t>a</w:t>
      </w:r>
      <w:r w:rsidR="001B6C6A">
        <w:rPr>
          <w:sz w:val="24"/>
          <w:szCs w:val="24"/>
          <w:lang w:val="hr-HR"/>
        </w:rPr>
        <w:t xml:space="preserve"> i prehran</w:t>
      </w:r>
      <w:r w:rsidR="003730C8">
        <w:rPr>
          <w:sz w:val="24"/>
          <w:szCs w:val="24"/>
          <w:lang w:val="hr-HR"/>
        </w:rPr>
        <w:t>e</w:t>
      </w:r>
      <w:r w:rsidR="001B6C6A">
        <w:rPr>
          <w:sz w:val="24"/>
          <w:szCs w:val="24"/>
          <w:lang w:val="hr-HR"/>
        </w:rPr>
        <w:t>, zdravstven</w:t>
      </w:r>
      <w:r w:rsidR="003730C8">
        <w:rPr>
          <w:sz w:val="24"/>
          <w:szCs w:val="24"/>
          <w:lang w:val="hr-HR"/>
        </w:rPr>
        <w:t>e</w:t>
      </w:r>
      <w:r w:rsidR="001B6C6A">
        <w:rPr>
          <w:sz w:val="24"/>
          <w:szCs w:val="24"/>
          <w:lang w:val="hr-HR"/>
        </w:rPr>
        <w:t xml:space="preserve"> zaštit</w:t>
      </w:r>
      <w:r w:rsidR="003730C8">
        <w:rPr>
          <w:sz w:val="24"/>
          <w:szCs w:val="24"/>
          <w:lang w:val="hr-HR"/>
        </w:rPr>
        <w:t>e</w:t>
      </w:r>
      <w:r w:rsidR="001B6C6A">
        <w:rPr>
          <w:sz w:val="24"/>
          <w:szCs w:val="24"/>
          <w:lang w:val="hr-HR"/>
        </w:rPr>
        <w:t>, organizira</w:t>
      </w:r>
      <w:r w:rsidR="003730C8">
        <w:rPr>
          <w:sz w:val="24"/>
          <w:szCs w:val="24"/>
          <w:lang w:val="hr-HR"/>
        </w:rPr>
        <w:t>nje</w:t>
      </w:r>
      <w:r w:rsidR="001B6C6A">
        <w:rPr>
          <w:sz w:val="24"/>
          <w:szCs w:val="24"/>
          <w:lang w:val="hr-HR"/>
        </w:rPr>
        <w:t xml:space="preserve"> smislenih</w:t>
      </w:r>
      <w:r w:rsidR="003730C8">
        <w:rPr>
          <w:sz w:val="24"/>
          <w:szCs w:val="24"/>
          <w:lang w:val="hr-HR"/>
        </w:rPr>
        <w:t xml:space="preserve"> slobodnih</w:t>
      </w:r>
      <w:r w:rsidR="001B6C6A">
        <w:rPr>
          <w:sz w:val="24"/>
          <w:szCs w:val="24"/>
          <w:lang w:val="hr-HR"/>
        </w:rPr>
        <w:t xml:space="preserve"> aktivnosti</w:t>
      </w:r>
      <w:r w:rsidR="003730C8">
        <w:rPr>
          <w:sz w:val="24"/>
          <w:szCs w:val="24"/>
          <w:lang w:val="hr-HR"/>
        </w:rPr>
        <w:t xml:space="preserve"> kako bi se osigurale tjelesne, duhovne i kulturne potrebe</w:t>
      </w:r>
      <w:r w:rsidR="001B6C6A">
        <w:rPr>
          <w:sz w:val="24"/>
          <w:szCs w:val="24"/>
          <w:lang w:val="hr-HR"/>
        </w:rPr>
        <w:t>, potica</w:t>
      </w:r>
      <w:r w:rsidR="009A300C">
        <w:rPr>
          <w:sz w:val="24"/>
          <w:szCs w:val="24"/>
          <w:lang w:val="hr-HR"/>
        </w:rPr>
        <w:t>nje</w:t>
      </w:r>
      <w:r w:rsidR="001B6C6A">
        <w:rPr>
          <w:sz w:val="24"/>
          <w:szCs w:val="24"/>
          <w:lang w:val="hr-HR"/>
        </w:rPr>
        <w:t xml:space="preserve"> radn</w:t>
      </w:r>
      <w:r w:rsidR="009A300C">
        <w:rPr>
          <w:sz w:val="24"/>
          <w:szCs w:val="24"/>
          <w:lang w:val="hr-HR"/>
        </w:rPr>
        <w:t>e</w:t>
      </w:r>
      <w:r w:rsidR="001B6C6A">
        <w:rPr>
          <w:sz w:val="24"/>
          <w:szCs w:val="24"/>
          <w:lang w:val="hr-HR"/>
        </w:rPr>
        <w:t xml:space="preserve"> aktivnost osoba na izdržavanju kazne zatvora i osigura</w:t>
      </w:r>
      <w:r w:rsidR="003730C8">
        <w:rPr>
          <w:sz w:val="24"/>
          <w:szCs w:val="24"/>
          <w:lang w:val="hr-HR"/>
        </w:rPr>
        <w:t>nje rada</w:t>
      </w:r>
      <w:r w:rsidR="001B6C6A">
        <w:rPr>
          <w:sz w:val="24"/>
          <w:szCs w:val="24"/>
          <w:lang w:val="hr-HR"/>
        </w:rPr>
        <w:t xml:space="preserve"> kad je to moguće, osigura</w:t>
      </w:r>
      <w:r w:rsidR="003730C8">
        <w:rPr>
          <w:sz w:val="24"/>
          <w:szCs w:val="24"/>
          <w:lang w:val="hr-HR"/>
        </w:rPr>
        <w:t>nje</w:t>
      </w:r>
      <w:r w:rsidR="001B6C6A">
        <w:rPr>
          <w:sz w:val="24"/>
          <w:szCs w:val="24"/>
          <w:lang w:val="hr-HR"/>
        </w:rPr>
        <w:t xml:space="preserve"> zakonito</w:t>
      </w:r>
      <w:r w:rsidR="003730C8">
        <w:rPr>
          <w:sz w:val="24"/>
          <w:szCs w:val="24"/>
          <w:lang w:val="hr-HR"/>
        </w:rPr>
        <w:t>g</w:t>
      </w:r>
      <w:r w:rsidR="001B6C6A">
        <w:rPr>
          <w:sz w:val="24"/>
          <w:szCs w:val="24"/>
          <w:lang w:val="hr-HR"/>
        </w:rPr>
        <w:t>, svrsishodno</w:t>
      </w:r>
      <w:r w:rsidR="003730C8">
        <w:rPr>
          <w:sz w:val="24"/>
          <w:szCs w:val="24"/>
          <w:lang w:val="hr-HR"/>
        </w:rPr>
        <w:t>g</w:t>
      </w:r>
      <w:r w:rsidR="001B6C6A">
        <w:rPr>
          <w:sz w:val="24"/>
          <w:szCs w:val="24"/>
          <w:lang w:val="hr-HR"/>
        </w:rPr>
        <w:t xml:space="preserve"> i učinkovito</w:t>
      </w:r>
      <w:r w:rsidR="003730C8">
        <w:rPr>
          <w:sz w:val="24"/>
          <w:szCs w:val="24"/>
          <w:lang w:val="hr-HR"/>
        </w:rPr>
        <w:t>g</w:t>
      </w:r>
      <w:r w:rsidR="001B6C6A">
        <w:rPr>
          <w:sz w:val="24"/>
          <w:szCs w:val="24"/>
          <w:lang w:val="hr-HR"/>
        </w:rPr>
        <w:t xml:space="preserve"> postupanj</w:t>
      </w:r>
      <w:r w:rsidR="00BD2F59">
        <w:rPr>
          <w:sz w:val="24"/>
          <w:szCs w:val="24"/>
          <w:lang w:val="hr-HR"/>
        </w:rPr>
        <w:t>a</w:t>
      </w:r>
      <w:r w:rsidR="001B6C6A">
        <w:rPr>
          <w:sz w:val="24"/>
          <w:szCs w:val="24"/>
          <w:lang w:val="hr-HR"/>
        </w:rPr>
        <w:t xml:space="preserve"> u području</w:t>
      </w:r>
      <w:r w:rsidR="003730C8">
        <w:rPr>
          <w:sz w:val="24"/>
          <w:szCs w:val="24"/>
          <w:lang w:val="hr-HR"/>
        </w:rPr>
        <w:t xml:space="preserve"> ostvarivanja prava zatvorenika, </w:t>
      </w:r>
      <w:r w:rsidR="003730C8" w:rsidRPr="003730C8">
        <w:rPr>
          <w:sz w:val="24"/>
          <w:szCs w:val="24"/>
          <w:lang w:val="hr-HR"/>
        </w:rPr>
        <w:t xml:space="preserve"> </w:t>
      </w:r>
      <w:r w:rsidR="003730C8">
        <w:rPr>
          <w:sz w:val="24"/>
          <w:szCs w:val="24"/>
          <w:lang w:val="hr-HR"/>
        </w:rPr>
        <w:t xml:space="preserve">primjenu </w:t>
      </w:r>
      <w:proofErr w:type="spellStart"/>
      <w:r w:rsidR="003730C8">
        <w:rPr>
          <w:sz w:val="24"/>
          <w:szCs w:val="24"/>
          <w:lang w:val="hr-HR"/>
        </w:rPr>
        <w:t>tretmanskih</w:t>
      </w:r>
      <w:proofErr w:type="spellEnd"/>
      <w:r w:rsidR="003730C8">
        <w:rPr>
          <w:sz w:val="24"/>
          <w:szCs w:val="24"/>
          <w:lang w:val="hr-HR"/>
        </w:rPr>
        <w:t xml:space="preserve"> pogodnosti radi pripreme počinitelja za ponovno int</w:t>
      </w:r>
      <w:r w:rsidR="00066238">
        <w:rPr>
          <w:sz w:val="24"/>
          <w:szCs w:val="24"/>
          <w:lang w:val="hr-HR"/>
        </w:rPr>
        <w:t>e</w:t>
      </w:r>
      <w:r w:rsidR="003730C8">
        <w:rPr>
          <w:sz w:val="24"/>
          <w:szCs w:val="24"/>
          <w:lang w:val="hr-HR"/>
        </w:rPr>
        <w:t xml:space="preserve">griranje u društvenu zajednicu  i osposobljavanje za samostalni život na slobodi u skladu </w:t>
      </w:r>
      <w:r w:rsidR="00147D65">
        <w:rPr>
          <w:sz w:val="24"/>
          <w:szCs w:val="24"/>
          <w:lang w:val="hr-HR"/>
        </w:rPr>
        <w:t>sa</w:t>
      </w:r>
      <w:r w:rsidR="003730C8">
        <w:rPr>
          <w:sz w:val="24"/>
          <w:szCs w:val="24"/>
          <w:lang w:val="hr-HR"/>
        </w:rPr>
        <w:t xml:space="preserve"> društvenim normama uz istovremeno pružanje pomoći u otklanjanju štete nanesene kaznenim djelom i pomirenj</w:t>
      </w:r>
      <w:r w:rsidR="00BD2F59">
        <w:rPr>
          <w:sz w:val="24"/>
          <w:szCs w:val="24"/>
          <w:lang w:val="hr-HR"/>
        </w:rPr>
        <w:t>u</w:t>
      </w:r>
      <w:r w:rsidR="003730C8">
        <w:rPr>
          <w:sz w:val="24"/>
          <w:szCs w:val="24"/>
          <w:lang w:val="hr-HR"/>
        </w:rPr>
        <w:t xml:space="preserve"> sa žrtvama.</w:t>
      </w:r>
    </w:p>
    <w:p w14:paraId="3C4C62F3" w14:textId="77777777" w:rsidR="008E11DA" w:rsidRPr="00C41928" w:rsidRDefault="008E11DA" w:rsidP="008E11DA">
      <w:pPr>
        <w:pStyle w:val="Naslov8"/>
        <w:spacing w:after="0"/>
        <w:jc w:val="left"/>
        <w:rPr>
          <w:szCs w:val="22"/>
        </w:rPr>
      </w:pPr>
      <w:r w:rsidRPr="00C41928">
        <w:rPr>
          <w:szCs w:val="22"/>
        </w:rPr>
        <w:t>Zakonske i druge pravne osnove</w:t>
      </w:r>
    </w:p>
    <w:p w14:paraId="2F27CF29" w14:textId="77777777" w:rsidR="008E11DA" w:rsidRPr="00C41928" w:rsidRDefault="008E11DA" w:rsidP="008E11DA">
      <w:pPr>
        <w:spacing w:after="0"/>
        <w:rPr>
          <w:szCs w:val="22"/>
        </w:rPr>
      </w:pPr>
    </w:p>
    <w:tbl>
      <w:tblPr>
        <w:tblStyle w:val="StilTablice"/>
        <w:tblW w:w="9962" w:type="dxa"/>
        <w:jc w:val="center"/>
        <w:tblLook w:val="04A0" w:firstRow="1" w:lastRow="0" w:firstColumn="1" w:lastColumn="0" w:noHBand="0" w:noVBand="1"/>
      </w:tblPr>
      <w:tblGrid>
        <w:gridCol w:w="1419"/>
        <w:gridCol w:w="1503"/>
        <w:gridCol w:w="1472"/>
        <w:gridCol w:w="1504"/>
        <w:gridCol w:w="1504"/>
        <w:gridCol w:w="1504"/>
        <w:gridCol w:w="1056"/>
      </w:tblGrid>
      <w:tr w:rsidR="003F73C0" w:rsidRPr="00C41928" w14:paraId="7DD0AD33" w14:textId="77777777" w:rsidTr="00C41928">
        <w:trPr>
          <w:trHeight w:val="541"/>
          <w:jc w:val="center"/>
        </w:trPr>
        <w:tc>
          <w:tcPr>
            <w:tcW w:w="1425" w:type="dxa"/>
            <w:shd w:val="clear" w:color="auto" w:fill="B5C0D8"/>
          </w:tcPr>
          <w:p w14:paraId="2543132A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7" w:type="dxa"/>
            <w:shd w:val="clear" w:color="auto" w:fill="B5C0D8"/>
            <w:vAlign w:val="top"/>
          </w:tcPr>
          <w:p w14:paraId="1942FFBD" w14:textId="378C22CB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</w:t>
            </w:r>
            <w:r w:rsidR="00127057" w:rsidRPr="00C41928">
              <w:rPr>
                <w:rFonts w:cs="Times New Roman"/>
                <w:sz w:val="22"/>
              </w:rPr>
              <w:t>2</w:t>
            </w:r>
            <w:r w:rsidRPr="00C41928">
              <w:rPr>
                <w:rFonts w:cs="Times New Roman"/>
                <w:sz w:val="22"/>
              </w:rPr>
              <w:t>.</w:t>
            </w:r>
          </w:p>
        </w:tc>
        <w:tc>
          <w:tcPr>
            <w:tcW w:w="1475" w:type="dxa"/>
            <w:shd w:val="clear" w:color="auto" w:fill="B5C0D8"/>
            <w:vAlign w:val="top"/>
          </w:tcPr>
          <w:p w14:paraId="3A59A218" w14:textId="079EDB64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</w:t>
            </w:r>
            <w:r w:rsidR="00127057" w:rsidRPr="00C41928">
              <w:rPr>
                <w:rFonts w:cs="Times New Roman"/>
                <w:sz w:val="22"/>
              </w:rPr>
              <w:t>3</w:t>
            </w:r>
            <w:r w:rsidRPr="00C41928">
              <w:rPr>
                <w:rFonts w:cs="Times New Roman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1BAC418C" w14:textId="5759823B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4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3A5B4EA2" w14:textId="53E9DDCE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5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5BE46E39" w14:textId="67BAFD84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6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031" w:type="dxa"/>
            <w:shd w:val="clear" w:color="auto" w:fill="B5C0D8"/>
            <w:vAlign w:val="top"/>
          </w:tcPr>
          <w:p w14:paraId="65656496" w14:textId="361E3076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Indeks 202</w:t>
            </w:r>
            <w:r w:rsidR="00127057" w:rsidRPr="00C41928">
              <w:rPr>
                <w:rFonts w:cs="Times New Roman"/>
                <w:sz w:val="22"/>
              </w:rPr>
              <w:t>4</w:t>
            </w:r>
            <w:r w:rsidRPr="00C41928">
              <w:rPr>
                <w:rFonts w:cs="Times New Roman"/>
                <w:sz w:val="22"/>
              </w:rPr>
              <w:t>/202</w:t>
            </w:r>
            <w:r w:rsidR="00127057" w:rsidRPr="00C41928">
              <w:rPr>
                <w:rFonts w:cs="Times New Roman"/>
                <w:sz w:val="22"/>
              </w:rPr>
              <w:t>3</w:t>
            </w:r>
          </w:p>
        </w:tc>
      </w:tr>
      <w:tr w:rsidR="00014547" w:rsidRPr="00C41928" w14:paraId="24C90181" w14:textId="77777777" w:rsidTr="00C41928">
        <w:trPr>
          <w:trHeight w:val="343"/>
          <w:jc w:val="center"/>
        </w:trPr>
        <w:tc>
          <w:tcPr>
            <w:tcW w:w="1425" w:type="dxa"/>
            <w:vAlign w:val="top"/>
          </w:tcPr>
          <w:p w14:paraId="49916E25" w14:textId="696C0743" w:rsidR="008E11DA" w:rsidRPr="00C41928" w:rsidRDefault="00D27D48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7" w:type="dxa"/>
            <w:vAlign w:val="top"/>
          </w:tcPr>
          <w:p w14:paraId="6B3B5B94" w14:textId="48F3A20A" w:rsidR="008E11DA" w:rsidRPr="00C41928" w:rsidRDefault="00A13A99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1.574.394,22</w:t>
            </w:r>
          </w:p>
        </w:tc>
        <w:tc>
          <w:tcPr>
            <w:tcW w:w="1475" w:type="dxa"/>
            <w:vAlign w:val="top"/>
          </w:tcPr>
          <w:p w14:paraId="5F352A4F" w14:textId="58A62D27" w:rsidR="008E11DA" w:rsidRPr="00C41928" w:rsidRDefault="003A1B02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0E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125</w:t>
            </w:r>
            <w:r w:rsidR="000F0E5E">
              <w:rPr>
                <w:sz w:val="22"/>
                <w:szCs w:val="22"/>
              </w:rPr>
              <w:t>.974,00</w:t>
            </w:r>
          </w:p>
        </w:tc>
        <w:tc>
          <w:tcPr>
            <w:tcW w:w="1508" w:type="dxa"/>
            <w:vAlign w:val="top"/>
          </w:tcPr>
          <w:p w14:paraId="15A5081F" w14:textId="5C6E5500" w:rsidR="008E11DA" w:rsidRPr="00C41928" w:rsidRDefault="00014547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F73C0">
              <w:rPr>
                <w:sz w:val="22"/>
                <w:szCs w:val="22"/>
              </w:rPr>
              <w:t>952</w:t>
            </w:r>
            <w:r>
              <w:rPr>
                <w:sz w:val="22"/>
                <w:szCs w:val="22"/>
              </w:rPr>
              <w:t>.0</w:t>
            </w:r>
            <w:r w:rsidR="003F73C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8" w:type="dxa"/>
            <w:vAlign w:val="top"/>
          </w:tcPr>
          <w:p w14:paraId="7735448E" w14:textId="0381178D" w:rsidR="008E11DA" w:rsidRPr="00C41928" w:rsidRDefault="00014547" w:rsidP="005541D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F73C0">
              <w:rPr>
                <w:sz w:val="22"/>
                <w:szCs w:val="22"/>
              </w:rPr>
              <w:t>898</w:t>
            </w:r>
            <w:r>
              <w:rPr>
                <w:sz w:val="22"/>
                <w:szCs w:val="22"/>
              </w:rPr>
              <w:t>.5</w:t>
            </w:r>
            <w:r w:rsidR="003F73C0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8" w:type="dxa"/>
            <w:vAlign w:val="top"/>
          </w:tcPr>
          <w:p w14:paraId="5193FDBC" w14:textId="3023E1C0" w:rsidR="008E11DA" w:rsidRPr="00C41928" w:rsidRDefault="00014547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F73C0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>.3</w:t>
            </w:r>
            <w:r w:rsidR="003F73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7,00</w:t>
            </w:r>
          </w:p>
        </w:tc>
        <w:tc>
          <w:tcPr>
            <w:tcW w:w="1031" w:type="dxa"/>
            <w:vAlign w:val="top"/>
          </w:tcPr>
          <w:p w14:paraId="357A02C5" w14:textId="08D6CC05" w:rsidR="008E11DA" w:rsidRPr="00C41928" w:rsidRDefault="00B10C05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35F09">
              <w:rPr>
                <w:sz w:val="22"/>
                <w:szCs w:val="22"/>
              </w:rPr>
              <w:t>388558</w:t>
            </w:r>
          </w:p>
        </w:tc>
      </w:tr>
      <w:bookmarkEnd w:id="0"/>
    </w:tbl>
    <w:p w14:paraId="4E4B85B5" w14:textId="77777777" w:rsidR="008E11DA" w:rsidRPr="00C41928" w:rsidRDefault="008E11DA" w:rsidP="008E11DA">
      <w:pPr>
        <w:spacing w:after="0"/>
        <w:jc w:val="left"/>
        <w:rPr>
          <w:szCs w:val="22"/>
        </w:rPr>
      </w:pPr>
    </w:p>
    <w:p w14:paraId="3D000502" w14:textId="4CF46219" w:rsidR="00907DE9" w:rsidRDefault="00D27D48" w:rsidP="00D27D48">
      <w:pPr>
        <w:spacing w:after="0"/>
        <w:rPr>
          <w:sz w:val="24"/>
          <w:szCs w:val="24"/>
          <w:lang w:val="hr-HR"/>
        </w:rPr>
      </w:pPr>
      <w:r w:rsidRPr="00F964AC">
        <w:rPr>
          <w:sz w:val="24"/>
          <w:szCs w:val="24"/>
          <w:lang w:val="hr-HR"/>
        </w:rPr>
        <w:t>U okviru ove aktivnosti osigurana su sredstva za financiranje rashoda za zaposlene i materijalnih rashoda potrebnih za redovan rad</w:t>
      </w:r>
      <w:r w:rsidR="00B8661F" w:rsidRPr="00F964AC">
        <w:rPr>
          <w:sz w:val="24"/>
          <w:szCs w:val="24"/>
          <w:lang w:val="hr-HR"/>
        </w:rPr>
        <w:t xml:space="preserve"> i funkcioniranje</w:t>
      </w:r>
      <w:r w:rsidRPr="00F964AC">
        <w:rPr>
          <w:sz w:val="24"/>
          <w:szCs w:val="24"/>
          <w:lang w:val="hr-HR"/>
        </w:rPr>
        <w:t xml:space="preserve"> zatvorskog sustava</w:t>
      </w:r>
      <w:r w:rsidR="007310EE">
        <w:rPr>
          <w:sz w:val="24"/>
          <w:szCs w:val="24"/>
          <w:lang w:val="hr-HR"/>
        </w:rPr>
        <w:t>, financijskih rashoda, rashoda za nabavu dugotrajne imovine, te dodatnih ulaganja na objektima</w:t>
      </w:r>
      <w:r w:rsidR="004635FD">
        <w:rPr>
          <w:sz w:val="24"/>
          <w:szCs w:val="24"/>
          <w:lang w:val="hr-HR"/>
        </w:rPr>
        <w:t>.</w:t>
      </w:r>
    </w:p>
    <w:p w14:paraId="56643073" w14:textId="77777777" w:rsidR="004635FD" w:rsidRPr="00F964AC" w:rsidRDefault="004635FD" w:rsidP="00D27D48">
      <w:pPr>
        <w:spacing w:after="0"/>
        <w:rPr>
          <w:sz w:val="24"/>
          <w:szCs w:val="24"/>
          <w:lang w:val="hr-HR"/>
        </w:rPr>
      </w:pPr>
    </w:p>
    <w:p w14:paraId="07AC770E" w14:textId="49277831" w:rsidR="00907DE9" w:rsidRPr="00907DE9" w:rsidRDefault="00907DE9" w:rsidP="00D27D48">
      <w:pPr>
        <w:spacing w:after="0"/>
        <w:rPr>
          <w:szCs w:val="22"/>
          <w:u w:val="single"/>
          <w:lang w:val="hr-HR"/>
        </w:rPr>
      </w:pPr>
      <w:r w:rsidRPr="00907DE9">
        <w:rPr>
          <w:szCs w:val="22"/>
          <w:u w:val="single"/>
          <w:lang w:val="hr-HR"/>
        </w:rPr>
        <w:t>Izvor 11</w:t>
      </w:r>
    </w:p>
    <w:p w14:paraId="16E8C0E3" w14:textId="77777777" w:rsidR="00780A30" w:rsidRPr="00C41928" w:rsidRDefault="00780A30" w:rsidP="00D27D48">
      <w:pPr>
        <w:spacing w:after="0"/>
        <w:rPr>
          <w:szCs w:val="22"/>
          <w:lang w:val="hr-HR"/>
        </w:rPr>
      </w:pPr>
    </w:p>
    <w:p w14:paraId="0CC15B90" w14:textId="77777777" w:rsidR="002D3582" w:rsidRDefault="00FD2A0E" w:rsidP="00CC530A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</w:t>
      </w:r>
    </w:p>
    <w:p w14:paraId="596FFDA1" w14:textId="465B213C" w:rsidR="006E6D6F" w:rsidRDefault="00877B08" w:rsidP="00CC530A">
      <w:pPr>
        <w:spacing w:after="0"/>
        <w:rPr>
          <w:iCs/>
          <w:sz w:val="24"/>
          <w:szCs w:val="24"/>
        </w:rPr>
      </w:pPr>
      <w:r>
        <w:rPr>
          <w:szCs w:val="22"/>
          <w:lang w:val="hr-HR"/>
        </w:rPr>
        <w:t>U 2024. godini  su planirana sredstva za rashode za zaposlene u iznosu od 2.</w:t>
      </w:r>
      <w:r w:rsidR="007B7004">
        <w:rPr>
          <w:szCs w:val="22"/>
          <w:lang w:val="hr-HR"/>
        </w:rPr>
        <w:t>180</w:t>
      </w:r>
      <w:r>
        <w:rPr>
          <w:szCs w:val="22"/>
          <w:lang w:val="hr-HR"/>
        </w:rPr>
        <w:t>.0</w:t>
      </w:r>
      <w:r w:rsidR="007B7004">
        <w:rPr>
          <w:szCs w:val="22"/>
          <w:lang w:val="hr-HR"/>
        </w:rPr>
        <w:t>4</w:t>
      </w:r>
      <w:r>
        <w:rPr>
          <w:szCs w:val="22"/>
          <w:lang w:val="hr-HR"/>
        </w:rPr>
        <w:t xml:space="preserve">0,00 </w:t>
      </w:r>
      <w:r w:rsidR="000E4D18">
        <w:rPr>
          <w:i/>
          <w:iCs/>
          <w:sz w:val="24"/>
          <w:szCs w:val="24"/>
        </w:rPr>
        <w:t xml:space="preserve">€ </w:t>
      </w:r>
      <w:r w:rsidR="000E4D18" w:rsidRPr="000E4D18">
        <w:rPr>
          <w:iCs/>
          <w:sz w:val="24"/>
          <w:szCs w:val="24"/>
        </w:rPr>
        <w:t>za 58</w:t>
      </w:r>
      <w:r w:rsidR="000E4D18">
        <w:rPr>
          <w:iCs/>
          <w:sz w:val="24"/>
          <w:szCs w:val="24"/>
        </w:rPr>
        <w:t xml:space="preserve"> državnih službenika što podrazumijeva povećanje za 3 </w:t>
      </w:r>
      <w:r w:rsidR="00AF28D5">
        <w:rPr>
          <w:iCs/>
          <w:sz w:val="24"/>
          <w:szCs w:val="24"/>
        </w:rPr>
        <w:t>državna službenika</w:t>
      </w:r>
      <w:r w:rsidR="000E4D18">
        <w:rPr>
          <w:iCs/>
          <w:sz w:val="24"/>
          <w:szCs w:val="24"/>
        </w:rPr>
        <w:t xml:space="preserve">. </w:t>
      </w:r>
      <w:r w:rsidR="009952FC">
        <w:rPr>
          <w:iCs/>
          <w:sz w:val="24"/>
          <w:szCs w:val="24"/>
        </w:rPr>
        <w:t xml:space="preserve"> Postupak izrade obračun</w:t>
      </w:r>
      <w:r w:rsidR="004A2FDD">
        <w:rPr>
          <w:iCs/>
          <w:sz w:val="24"/>
          <w:szCs w:val="24"/>
        </w:rPr>
        <w:t>a</w:t>
      </w:r>
      <w:r w:rsidR="009952FC">
        <w:rPr>
          <w:iCs/>
          <w:sz w:val="24"/>
          <w:szCs w:val="24"/>
        </w:rPr>
        <w:t xml:space="preserve"> </w:t>
      </w:r>
      <w:r w:rsidR="004A2FDD">
        <w:rPr>
          <w:iCs/>
          <w:sz w:val="24"/>
          <w:szCs w:val="24"/>
        </w:rPr>
        <w:t xml:space="preserve">plaće za redovan rad i doprinose </w:t>
      </w:r>
      <w:r w:rsidR="007D3D8C">
        <w:rPr>
          <w:iCs/>
          <w:sz w:val="24"/>
          <w:szCs w:val="24"/>
        </w:rPr>
        <w:t xml:space="preserve">radi utvrđivanja planiranoga iznosa </w:t>
      </w:r>
      <w:r w:rsidR="009952FC">
        <w:rPr>
          <w:iCs/>
          <w:sz w:val="24"/>
          <w:szCs w:val="24"/>
        </w:rPr>
        <w:t xml:space="preserve">izvršen je na način da </w:t>
      </w:r>
      <w:r w:rsidR="007D3D8C">
        <w:rPr>
          <w:iCs/>
          <w:sz w:val="24"/>
          <w:szCs w:val="24"/>
        </w:rPr>
        <w:t xml:space="preserve">je iznos potrebnih sredstava za isplatu plaće za mjesec </w:t>
      </w:r>
      <w:r w:rsidR="00374018">
        <w:rPr>
          <w:iCs/>
          <w:sz w:val="24"/>
          <w:szCs w:val="24"/>
        </w:rPr>
        <w:t>kolovoz</w:t>
      </w:r>
      <w:r w:rsidR="007D3D8C">
        <w:rPr>
          <w:iCs/>
          <w:sz w:val="24"/>
          <w:szCs w:val="24"/>
        </w:rPr>
        <w:t xml:space="preserve"> </w:t>
      </w:r>
      <w:r w:rsidR="004A2FDD">
        <w:rPr>
          <w:iCs/>
          <w:sz w:val="24"/>
          <w:szCs w:val="24"/>
        </w:rPr>
        <w:t>2023. godine</w:t>
      </w:r>
      <w:r w:rsidR="007D3D8C">
        <w:rPr>
          <w:iCs/>
          <w:sz w:val="24"/>
          <w:szCs w:val="24"/>
        </w:rPr>
        <w:t xml:space="preserve"> za 55 državni</w:t>
      </w:r>
      <w:r w:rsidR="00AF28D5">
        <w:rPr>
          <w:iCs/>
          <w:sz w:val="24"/>
          <w:szCs w:val="24"/>
        </w:rPr>
        <w:t>h</w:t>
      </w:r>
      <w:r w:rsidR="007D3D8C">
        <w:rPr>
          <w:iCs/>
          <w:sz w:val="24"/>
          <w:szCs w:val="24"/>
        </w:rPr>
        <w:t xml:space="preserve"> službenika uvećan </w:t>
      </w:r>
      <w:r w:rsidR="004A2FDD">
        <w:rPr>
          <w:iCs/>
          <w:sz w:val="24"/>
          <w:szCs w:val="24"/>
        </w:rPr>
        <w:t>za</w:t>
      </w:r>
      <w:r w:rsidR="009952FC">
        <w:rPr>
          <w:iCs/>
          <w:sz w:val="24"/>
          <w:szCs w:val="24"/>
        </w:rPr>
        <w:t xml:space="preserve"> iznose </w:t>
      </w:r>
      <w:r w:rsidR="007D3D8C">
        <w:rPr>
          <w:iCs/>
          <w:sz w:val="24"/>
          <w:szCs w:val="24"/>
        </w:rPr>
        <w:t>procijenjenih potrebnih sredstava</w:t>
      </w:r>
      <w:r w:rsidR="004A2FDD">
        <w:rPr>
          <w:iCs/>
          <w:sz w:val="24"/>
          <w:szCs w:val="24"/>
        </w:rPr>
        <w:t xml:space="preserve"> za jednogodišnje razdoblje </w:t>
      </w:r>
      <w:r w:rsidR="007D3D8C">
        <w:rPr>
          <w:iCs/>
          <w:sz w:val="24"/>
          <w:szCs w:val="24"/>
        </w:rPr>
        <w:t xml:space="preserve"> za nova za</w:t>
      </w:r>
      <w:r w:rsidR="001B27E9">
        <w:rPr>
          <w:iCs/>
          <w:sz w:val="24"/>
          <w:szCs w:val="24"/>
        </w:rPr>
        <w:t xml:space="preserve">pošljavanja </w:t>
      </w:r>
      <w:r w:rsidR="004A2FDD">
        <w:rPr>
          <w:iCs/>
          <w:sz w:val="24"/>
          <w:szCs w:val="24"/>
        </w:rPr>
        <w:t xml:space="preserve">triju službenika uzimajući u obzir </w:t>
      </w:r>
      <w:r w:rsidR="001B27E9">
        <w:rPr>
          <w:iCs/>
          <w:sz w:val="24"/>
          <w:szCs w:val="24"/>
        </w:rPr>
        <w:t xml:space="preserve"> planirana radna mjesta na kojima će biti izvršen</w:t>
      </w:r>
      <w:r w:rsidR="004A2FDD">
        <w:rPr>
          <w:iCs/>
          <w:sz w:val="24"/>
          <w:szCs w:val="24"/>
        </w:rPr>
        <w:t>a nova</w:t>
      </w:r>
      <w:r w:rsidR="001B27E9">
        <w:rPr>
          <w:iCs/>
          <w:sz w:val="24"/>
          <w:szCs w:val="24"/>
        </w:rPr>
        <w:t xml:space="preserve"> zapošljavanj</w:t>
      </w:r>
      <w:r w:rsidR="004A2FDD">
        <w:rPr>
          <w:iCs/>
          <w:sz w:val="24"/>
          <w:szCs w:val="24"/>
        </w:rPr>
        <w:t>a</w:t>
      </w:r>
      <w:r w:rsidR="006E6D6F">
        <w:rPr>
          <w:iCs/>
          <w:sz w:val="24"/>
          <w:szCs w:val="24"/>
        </w:rPr>
        <w:t xml:space="preserve"> u </w:t>
      </w:r>
      <w:r w:rsidR="00374018">
        <w:rPr>
          <w:iCs/>
          <w:sz w:val="24"/>
          <w:szCs w:val="24"/>
        </w:rPr>
        <w:t>u</w:t>
      </w:r>
      <w:r w:rsidR="006E6D6F">
        <w:rPr>
          <w:iCs/>
          <w:sz w:val="24"/>
          <w:szCs w:val="24"/>
        </w:rPr>
        <w:t xml:space="preserve">kupnom </w:t>
      </w:r>
      <w:r w:rsidR="000D2414">
        <w:rPr>
          <w:iCs/>
          <w:sz w:val="24"/>
          <w:szCs w:val="24"/>
        </w:rPr>
        <w:t xml:space="preserve"> okvirnom </w:t>
      </w:r>
      <w:r w:rsidR="00374018">
        <w:rPr>
          <w:iCs/>
          <w:sz w:val="24"/>
          <w:szCs w:val="24"/>
        </w:rPr>
        <w:t xml:space="preserve">procijenjenom </w:t>
      </w:r>
      <w:r w:rsidR="006E6D6F">
        <w:rPr>
          <w:iCs/>
          <w:sz w:val="24"/>
          <w:szCs w:val="24"/>
        </w:rPr>
        <w:t xml:space="preserve">iznosu </w:t>
      </w:r>
      <w:r w:rsidR="000D2414">
        <w:rPr>
          <w:iCs/>
          <w:sz w:val="24"/>
          <w:szCs w:val="24"/>
        </w:rPr>
        <w:t>od</w:t>
      </w:r>
      <w:r w:rsidR="006E6D6F">
        <w:rPr>
          <w:iCs/>
          <w:sz w:val="24"/>
          <w:szCs w:val="24"/>
        </w:rPr>
        <w:t xml:space="preserve"> </w:t>
      </w:r>
      <w:r w:rsidR="002627C4">
        <w:rPr>
          <w:iCs/>
          <w:sz w:val="24"/>
          <w:szCs w:val="24"/>
        </w:rPr>
        <w:t>1</w:t>
      </w:r>
      <w:r w:rsidR="00B01ED7">
        <w:rPr>
          <w:iCs/>
          <w:sz w:val="24"/>
          <w:szCs w:val="24"/>
        </w:rPr>
        <w:t>3</w:t>
      </w:r>
      <w:r w:rsidR="00C6443B">
        <w:rPr>
          <w:iCs/>
          <w:sz w:val="24"/>
          <w:szCs w:val="24"/>
        </w:rPr>
        <w:t>0</w:t>
      </w:r>
      <w:r w:rsidR="006E6D6F">
        <w:rPr>
          <w:iCs/>
          <w:sz w:val="24"/>
          <w:szCs w:val="24"/>
        </w:rPr>
        <w:t xml:space="preserve">.000,00 </w:t>
      </w:r>
      <w:r w:rsidR="006E6D6F">
        <w:rPr>
          <w:i/>
          <w:iCs/>
          <w:sz w:val="24"/>
          <w:szCs w:val="24"/>
        </w:rPr>
        <w:t>€</w:t>
      </w:r>
      <w:r w:rsidR="001B27E9">
        <w:rPr>
          <w:iCs/>
          <w:sz w:val="24"/>
          <w:szCs w:val="24"/>
        </w:rPr>
        <w:t>.</w:t>
      </w:r>
      <w:r w:rsidR="009952FC">
        <w:rPr>
          <w:iCs/>
          <w:sz w:val="24"/>
          <w:szCs w:val="24"/>
        </w:rPr>
        <w:t xml:space="preserve"> </w:t>
      </w:r>
      <w:r w:rsidR="000E4D18">
        <w:rPr>
          <w:iCs/>
          <w:sz w:val="24"/>
          <w:szCs w:val="24"/>
        </w:rPr>
        <w:t>Kod planiranja navedenoga iznosa uzeto je i u obzir povećanje s osnove minuloga rada za 0,5 % za svaku godinu navršetka radnoga staža, te povećanje za vjern</w:t>
      </w:r>
      <w:r w:rsidR="009711D4">
        <w:rPr>
          <w:iCs/>
          <w:sz w:val="24"/>
          <w:szCs w:val="24"/>
        </w:rPr>
        <w:t>ost u državnoj službi za 4 i</w:t>
      </w:r>
      <w:r w:rsidR="00290270">
        <w:rPr>
          <w:iCs/>
          <w:sz w:val="24"/>
          <w:szCs w:val="24"/>
        </w:rPr>
        <w:t xml:space="preserve"> 8% kao i napredovanja u službi.</w:t>
      </w:r>
      <w:r w:rsidR="00E6491E">
        <w:rPr>
          <w:iCs/>
          <w:sz w:val="24"/>
          <w:szCs w:val="24"/>
        </w:rPr>
        <w:t xml:space="preserve"> Planirani iznos na stavci plaća za prekovremeni rad </w:t>
      </w:r>
      <w:r w:rsidR="00E96B67">
        <w:rPr>
          <w:iCs/>
          <w:sz w:val="24"/>
          <w:szCs w:val="24"/>
        </w:rPr>
        <w:t xml:space="preserve">neznatno je smanjen </w:t>
      </w:r>
      <w:r w:rsidR="00AF28D5">
        <w:rPr>
          <w:iCs/>
          <w:sz w:val="24"/>
          <w:szCs w:val="24"/>
        </w:rPr>
        <w:t xml:space="preserve">za iznos od </w:t>
      </w:r>
      <w:r w:rsidR="00E96B67">
        <w:rPr>
          <w:iCs/>
          <w:sz w:val="24"/>
          <w:szCs w:val="24"/>
        </w:rPr>
        <w:t>3</w:t>
      </w:r>
      <w:r w:rsidR="00D55CC0">
        <w:rPr>
          <w:iCs/>
          <w:sz w:val="24"/>
          <w:szCs w:val="24"/>
        </w:rPr>
        <w:t>.</w:t>
      </w:r>
      <w:r w:rsidR="00E96B67">
        <w:rPr>
          <w:iCs/>
          <w:sz w:val="24"/>
          <w:szCs w:val="24"/>
        </w:rPr>
        <w:t>6</w:t>
      </w:r>
      <w:r w:rsidR="00D55CC0">
        <w:rPr>
          <w:iCs/>
          <w:sz w:val="24"/>
          <w:szCs w:val="24"/>
        </w:rPr>
        <w:t>00,00</w:t>
      </w:r>
      <w:r w:rsidR="00AF28D5">
        <w:rPr>
          <w:iCs/>
          <w:sz w:val="24"/>
          <w:szCs w:val="24"/>
        </w:rPr>
        <w:t xml:space="preserve"> </w:t>
      </w:r>
      <w:r w:rsidR="00AF28D5">
        <w:rPr>
          <w:i/>
          <w:iCs/>
          <w:sz w:val="24"/>
          <w:szCs w:val="24"/>
        </w:rPr>
        <w:t>€</w:t>
      </w:r>
      <w:r w:rsidR="00E6491E">
        <w:rPr>
          <w:iCs/>
          <w:sz w:val="24"/>
          <w:szCs w:val="24"/>
        </w:rPr>
        <w:t xml:space="preserve"> </w:t>
      </w:r>
      <w:r w:rsidR="00FE2FE6">
        <w:rPr>
          <w:iCs/>
          <w:sz w:val="24"/>
          <w:szCs w:val="24"/>
        </w:rPr>
        <w:t xml:space="preserve"> u odnosu na 2023. godinu, </w:t>
      </w:r>
      <w:r w:rsidR="00A95A4C">
        <w:rPr>
          <w:iCs/>
          <w:sz w:val="24"/>
          <w:szCs w:val="24"/>
        </w:rPr>
        <w:t>ali je</w:t>
      </w:r>
      <w:r w:rsidR="00FE2FE6">
        <w:rPr>
          <w:iCs/>
          <w:sz w:val="24"/>
          <w:szCs w:val="24"/>
        </w:rPr>
        <w:t xml:space="preserve"> planiran i dalje u znatnom iznosu </w:t>
      </w:r>
      <w:r w:rsidR="00E6491E">
        <w:rPr>
          <w:iCs/>
          <w:sz w:val="24"/>
          <w:szCs w:val="24"/>
        </w:rPr>
        <w:t>zbog učestalog i velikoga broja bolovanja</w:t>
      </w:r>
      <w:r w:rsidR="006E6D6F">
        <w:rPr>
          <w:iCs/>
          <w:sz w:val="24"/>
          <w:szCs w:val="24"/>
        </w:rPr>
        <w:t xml:space="preserve"> što otežava organizaciju rada službenika,  a isto </w:t>
      </w:r>
      <w:r w:rsidR="00E6491E">
        <w:rPr>
          <w:iCs/>
          <w:sz w:val="24"/>
          <w:szCs w:val="24"/>
        </w:rPr>
        <w:t xml:space="preserve"> je uvjetovano </w:t>
      </w:r>
      <w:r w:rsidR="005A529C">
        <w:rPr>
          <w:iCs/>
          <w:sz w:val="24"/>
          <w:szCs w:val="24"/>
        </w:rPr>
        <w:t>između ostaloga i starosnom strukturom zaposlenih</w:t>
      </w:r>
      <w:r w:rsidR="00AF28D5">
        <w:rPr>
          <w:iCs/>
          <w:sz w:val="24"/>
          <w:szCs w:val="24"/>
        </w:rPr>
        <w:t>.</w:t>
      </w:r>
      <w:r w:rsidR="006E6D6F">
        <w:rPr>
          <w:iCs/>
          <w:sz w:val="24"/>
          <w:szCs w:val="24"/>
        </w:rPr>
        <w:t xml:space="preserve"> Ostali rashodi planirani su također na osnovi broja od 58 službenika </w:t>
      </w:r>
      <w:r w:rsidR="003B5CD6">
        <w:rPr>
          <w:iCs/>
          <w:sz w:val="24"/>
          <w:szCs w:val="24"/>
        </w:rPr>
        <w:t xml:space="preserve"> te obuhvaćaju regres za godišnji odmor u okvirnom iznosu od 17.400,00 </w:t>
      </w:r>
      <w:r w:rsidR="003B5CD6">
        <w:rPr>
          <w:i/>
          <w:iCs/>
          <w:sz w:val="24"/>
          <w:szCs w:val="24"/>
        </w:rPr>
        <w:t xml:space="preserve">€, </w:t>
      </w:r>
      <w:r w:rsidR="00B2039A">
        <w:rPr>
          <w:iCs/>
          <w:sz w:val="24"/>
          <w:szCs w:val="24"/>
        </w:rPr>
        <w:t>b</w:t>
      </w:r>
      <w:r w:rsidR="003B5CD6" w:rsidRPr="003B5CD6">
        <w:rPr>
          <w:iCs/>
          <w:sz w:val="24"/>
          <w:szCs w:val="24"/>
        </w:rPr>
        <w:t>ožićnice</w:t>
      </w:r>
      <w:r w:rsidR="003B5CD6">
        <w:rPr>
          <w:iCs/>
          <w:sz w:val="24"/>
          <w:szCs w:val="24"/>
        </w:rPr>
        <w:t xml:space="preserve"> u okvirnom iznosu od 17.400,00 </w:t>
      </w:r>
      <w:r w:rsidR="003B5CD6">
        <w:rPr>
          <w:i/>
          <w:iCs/>
          <w:sz w:val="24"/>
          <w:szCs w:val="24"/>
        </w:rPr>
        <w:t xml:space="preserve">€, </w:t>
      </w:r>
      <w:r w:rsidR="00B2039A">
        <w:rPr>
          <w:iCs/>
          <w:sz w:val="24"/>
          <w:szCs w:val="24"/>
        </w:rPr>
        <w:t>d</w:t>
      </w:r>
      <w:r w:rsidR="003B5CD6" w:rsidRPr="003B5CD6">
        <w:rPr>
          <w:iCs/>
          <w:sz w:val="24"/>
          <w:szCs w:val="24"/>
        </w:rPr>
        <w:t>ar za</w:t>
      </w:r>
      <w:r w:rsidR="003B5CD6">
        <w:rPr>
          <w:iCs/>
          <w:sz w:val="24"/>
          <w:szCs w:val="24"/>
        </w:rPr>
        <w:t xml:space="preserve"> djecu </w:t>
      </w:r>
      <w:r w:rsidR="00324B5A">
        <w:rPr>
          <w:iCs/>
          <w:sz w:val="24"/>
          <w:szCs w:val="24"/>
        </w:rPr>
        <w:t xml:space="preserve"> za okvirni broj od trideset</w:t>
      </w:r>
      <w:r w:rsidR="00F84125">
        <w:rPr>
          <w:iCs/>
          <w:sz w:val="24"/>
          <w:szCs w:val="24"/>
        </w:rPr>
        <w:t>šestoro</w:t>
      </w:r>
      <w:r w:rsidR="00324B5A">
        <w:rPr>
          <w:iCs/>
          <w:sz w:val="24"/>
          <w:szCs w:val="24"/>
        </w:rPr>
        <w:t xml:space="preserve"> djece u iznosu od 3.600,00 </w:t>
      </w:r>
      <w:r w:rsidR="00324B5A">
        <w:rPr>
          <w:i/>
          <w:iCs/>
          <w:sz w:val="24"/>
          <w:szCs w:val="24"/>
        </w:rPr>
        <w:t>€</w:t>
      </w:r>
      <w:r w:rsidR="0033655B">
        <w:rPr>
          <w:i/>
          <w:iCs/>
          <w:sz w:val="24"/>
          <w:szCs w:val="24"/>
        </w:rPr>
        <w:t xml:space="preserve">, </w:t>
      </w:r>
      <w:r w:rsidR="00B2039A">
        <w:rPr>
          <w:iCs/>
          <w:sz w:val="24"/>
          <w:szCs w:val="24"/>
        </w:rPr>
        <w:t>o</w:t>
      </w:r>
      <w:r w:rsidR="0033655B">
        <w:rPr>
          <w:iCs/>
          <w:sz w:val="24"/>
          <w:szCs w:val="24"/>
        </w:rPr>
        <w:t>tpremnine za 5 osoba koje</w:t>
      </w:r>
      <w:r w:rsidR="00B2039A">
        <w:rPr>
          <w:iCs/>
          <w:sz w:val="24"/>
          <w:szCs w:val="24"/>
        </w:rPr>
        <w:t xml:space="preserve"> su</w:t>
      </w:r>
      <w:r w:rsidR="0033655B">
        <w:rPr>
          <w:iCs/>
          <w:sz w:val="24"/>
          <w:szCs w:val="24"/>
        </w:rPr>
        <w:t xml:space="preserve"> podnijele ili planiraju podnijeti zahtjev za odlazak  u mirovinu u okvirnom iznosu od </w:t>
      </w:r>
      <w:r w:rsidR="00290270">
        <w:rPr>
          <w:iCs/>
          <w:sz w:val="24"/>
          <w:szCs w:val="24"/>
        </w:rPr>
        <w:t>1</w:t>
      </w:r>
      <w:r w:rsidR="00E96B67">
        <w:rPr>
          <w:iCs/>
          <w:sz w:val="24"/>
          <w:szCs w:val="24"/>
        </w:rPr>
        <w:t>11</w:t>
      </w:r>
      <w:r w:rsidR="0033655B">
        <w:rPr>
          <w:iCs/>
          <w:sz w:val="24"/>
          <w:szCs w:val="24"/>
        </w:rPr>
        <w:t>.</w:t>
      </w:r>
      <w:r w:rsidR="00E96B67">
        <w:rPr>
          <w:iCs/>
          <w:sz w:val="24"/>
          <w:szCs w:val="24"/>
        </w:rPr>
        <w:t>26</w:t>
      </w:r>
      <w:r w:rsidR="0033655B">
        <w:rPr>
          <w:iCs/>
          <w:sz w:val="24"/>
          <w:szCs w:val="24"/>
        </w:rPr>
        <w:t xml:space="preserve">0,00 </w:t>
      </w:r>
      <w:r w:rsidR="0033655B">
        <w:rPr>
          <w:i/>
          <w:iCs/>
          <w:sz w:val="24"/>
          <w:szCs w:val="24"/>
        </w:rPr>
        <w:t xml:space="preserve">€, </w:t>
      </w:r>
      <w:r w:rsidR="0033655B" w:rsidRPr="0033655B">
        <w:rPr>
          <w:iCs/>
          <w:sz w:val="24"/>
          <w:szCs w:val="24"/>
        </w:rPr>
        <w:t xml:space="preserve">te </w:t>
      </w:r>
      <w:r w:rsidR="0033655B">
        <w:rPr>
          <w:iCs/>
          <w:sz w:val="24"/>
          <w:szCs w:val="24"/>
        </w:rPr>
        <w:t>ukupan iznos od 1</w:t>
      </w:r>
      <w:r w:rsidR="001C070B">
        <w:rPr>
          <w:iCs/>
          <w:sz w:val="24"/>
          <w:szCs w:val="24"/>
        </w:rPr>
        <w:t>2</w:t>
      </w:r>
      <w:r w:rsidR="0033655B">
        <w:rPr>
          <w:iCs/>
          <w:sz w:val="24"/>
          <w:szCs w:val="24"/>
        </w:rPr>
        <w:t xml:space="preserve">.000,00 </w:t>
      </w:r>
      <w:r w:rsidR="0033655B">
        <w:rPr>
          <w:i/>
          <w:iCs/>
          <w:sz w:val="24"/>
          <w:szCs w:val="24"/>
        </w:rPr>
        <w:t xml:space="preserve">€ </w:t>
      </w:r>
      <w:r w:rsidR="0033655B">
        <w:rPr>
          <w:iCs/>
          <w:sz w:val="24"/>
          <w:szCs w:val="24"/>
        </w:rPr>
        <w:t xml:space="preserve">procijenjen kao iznos potreban za isplatu ostalih prava zaposlenih temeljem </w:t>
      </w:r>
      <w:r w:rsidR="009208F3">
        <w:rPr>
          <w:iCs/>
          <w:sz w:val="24"/>
          <w:szCs w:val="24"/>
        </w:rPr>
        <w:t>k</w:t>
      </w:r>
      <w:r w:rsidR="0033655B">
        <w:rPr>
          <w:iCs/>
          <w:sz w:val="24"/>
          <w:szCs w:val="24"/>
        </w:rPr>
        <w:t>olektivnoga ugovora što podrazumijeva jubilarne nagr</w:t>
      </w:r>
      <w:r w:rsidR="004635FD">
        <w:rPr>
          <w:iCs/>
          <w:sz w:val="24"/>
          <w:szCs w:val="24"/>
        </w:rPr>
        <w:t>ade, pomoći za bolovanje i smrt članova obitelji.</w:t>
      </w:r>
    </w:p>
    <w:p w14:paraId="104204ED" w14:textId="77777777" w:rsidR="004E2B81" w:rsidRDefault="004E2B81" w:rsidP="00CC530A">
      <w:pPr>
        <w:spacing w:after="0"/>
        <w:rPr>
          <w:iCs/>
          <w:sz w:val="24"/>
          <w:szCs w:val="24"/>
        </w:rPr>
      </w:pPr>
    </w:p>
    <w:p w14:paraId="57BC176B" w14:textId="4D27A406" w:rsidR="00747413" w:rsidRDefault="00747413" w:rsidP="00CC530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Planiran</w:t>
      </w:r>
      <w:r w:rsidR="005A037A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 xml:space="preserve"> iznos</w:t>
      </w:r>
      <w:r w:rsidR="005A037A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 xml:space="preserve"> na pozicij</w:t>
      </w:r>
      <w:r w:rsidR="005A037A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 xml:space="preserve"> plać</w:t>
      </w:r>
      <w:r w:rsidR="005A037A">
        <w:rPr>
          <w:iCs/>
          <w:sz w:val="24"/>
          <w:szCs w:val="24"/>
        </w:rPr>
        <w:t>e</w:t>
      </w:r>
      <w:r w:rsidR="00E86C41">
        <w:rPr>
          <w:iCs/>
          <w:sz w:val="24"/>
          <w:szCs w:val="24"/>
        </w:rPr>
        <w:t xml:space="preserve"> za redovan rad </w:t>
      </w:r>
      <w:r>
        <w:rPr>
          <w:iCs/>
          <w:sz w:val="24"/>
          <w:szCs w:val="24"/>
        </w:rPr>
        <w:t xml:space="preserve">za 2025. godinu utvrđen </w:t>
      </w:r>
      <w:r w:rsidR="005A037A">
        <w:rPr>
          <w:iCs/>
          <w:sz w:val="24"/>
          <w:szCs w:val="24"/>
        </w:rPr>
        <w:t>je</w:t>
      </w:r>
      <w:r>
        <w:rPr>
          <w:iCs/>
          <w:sz w:val="24"/>
          <w:szCs w:val="24"/>
        </w:rPr>
        <w:t xml:space="preserve"> na način da je planirani iznos iz 2024. godine za 2025. godinu uvećan </w:t>
      </w:r>
      <w:r w:rsidR="001B4455">
        <w:rPr>
          <w:iCs/>
          <w:sz w:val="24"/>
          <w:szCs w:val="24"/>
        </w:rPr>
        <w:t xml:space="preserve">okvirno </w:t>
      </w:r>
      <w:r w:rsidR="005A037A">
        <w:rPr>
          <w:iCs/>
          <w:sz w:val="24"/>
          <w:szCs w:val="24"/>
        </w:rPr>
        <w:t>za 0,5% s onove minuloga rada, a  iznos plaće</w:t>
      </w:r>
      <w:r w:rsidR="00E86C41">
        <w:rPr>
          <w:iCs/>
          <w:sz w:val="24"/>
          <w:szCs w:val="24"/>
        </w:rPr>
        <w:t xml:space="preserve"> za redovan rad </w:t>
      </w:r>
      <w:r w:rsidR="005A037A">
        <w:rPr>
          <w:iCs/>
          <w:sz w:val="24"/>
          <w:szCs w:val="24"/>
        </w:rPr>
        <w:t xml:space="preserve"> za 2026. godinu utvrđen na način da je</w:t>
      </w:r>
      <w:r w:rsidR="004E2B81">
        <w:rPr>
          <w:iCs/>
          <w:sz w:val="24"/>
          <w:szCs w:val="24"/>
        </w:rPr>
        <w:t xml:space="preserve"> usklađen sa </w:t>
      </w:r>
      <w:r w:rsidR="00633637">
        <w:rPr>
          <w:iCs/>
          <w:sz w:val="24"/>
          <w:szCs w:val="24"/>
        </w:rPr>
        <w:t>zadanim</w:t>
      </w:r>
      <w:r w:rsidR="004E2B81">
        <w:rPr>
          <w:iCs/>
          <w:sz w:val="24"/>
          <w:szCs w:val="24"/>
        </w:rPr>
        <w:t xml:space="preserve"> limitom.</w:t>
      </w:r>
      <w:r w:rsidR="00C16502">
        <w:rPr>
          <w:iCs/>
          <w:sz w:val="24"/>
          <w:szCs w:val="24"/>
        </w:rPr>
        <w:t xml:space="preserve"> </w:t>
      </w:r>
    </w:p>
    <w:p w14:paraId="72C30C40" w14:textId="084FA29A" w:rsidR="004E2B81" w:rsidRDefault="004E2B81" w:rsidP="004E2B8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Planirani iznos za prekovremeni rad u 2025. godini utvrđen je na način da je planirani iznos iz 2024. godine za 2025. godinu uvećan </w:t>
      </w:r>
      <w:r w:rsidR="001B4455">
        <w:rPr>
          <w:iCs/>
          <w:sz w:val="24"/>
          <w:szCs w:val="24"/>
        </w:rPr>
        <w:t xml:space="preserve">okvirno </w:t>
      </w:r>
      <w:r>
        <w:rPr>
          <w:iCs/>
          <w:sz w:val="24"/>
          <w:szCs w:val="24"/>
        </w:rPr>
        <w:t xml:space="preserve">za 0,5% s onove minuloga rada, a  iznos plaće za 2026. godinu utvrđen na način da je usklađen sa </w:t>
      </w:r>
      <w:r w:rsidR="009208F3">
        <w:rPr>
          <w:iCs/>
          <w:sz w:val="24"/>
          <w:szCs w:val="24"/>
        </w:rPr>
        <w:t>zadanim</w:t>
      </w:r>
      <w:r>
        <w:rPr>
          <w:iCs/>
          <w:sz w:val="24"/>
          <w:szCs w:val="24"/>
        </w:rPr>
        <w:t xml:space="preserve"> limitom. </w:t>
      </w:r>
    </w:p>
    <w:p w14:paraId="3923B7DF" w14:textId="77777777" w:rsidR="003B456A" w:rsidRDefault="003B456A" w:rsidP="004E2B81">
      <w:pPr>
        <w:spacing w:after="0"/>
        <w:rPr>
          <w:iCs/>
          <w:sz w:val="24"/>
          <w:szCs w:val="24"/>
        </w:rPr>
      </w:pPr>
    </w:p>
    <w:p w14:paraId="2A51A63A" w14:textId="403F07C1" w:rsidR="003B456A" w:rsidRDefault="003B456A" w:rsidP="004E2B8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Ostali rashodi za zaposlene u 2025. godini kao i za 2026. godinu</w:t>
      </w:r>
      <w:r w:rsidR="00840AC1">
        <w:rPr>
          <w:iCs/>
          <w:sz w:val="24"/>
          <w:szCs w:val="24"/>
        </w:rPr>
        <w:t xml:space="preserve"> koji uključuju regres. </w:t>
      </w:r>
      <w:r w:rsidR="009208F3">
        <w:rPr>
          <w:iCs/>
          <w:sz w:val="24"/>
          <w:szCs w:val="24"/>
        </w:rPr>
        <w:t>b</w:t>
      </w:r>
      <w:r w:rsidR="00840AC1">
        <w:rPr>
          <w:iCs/>
          <w:sz w:val="24"/>
          <w:szCs w:val="24"/>
        </w:rPr>
        <w:t xml:space="preserve">ožićnicu, dar za djecu, otpremnine, jubilarne i pomoći </w:t>
      </w:r>
      <w:r>
        <w:rPr>
          <w:iCs/>
          <w:sz w:val="24"/>
          <w:szCs w:val="24"/>
        </w:rPr>
        <w:t xml:space="preserve"> planirani su na istoj razni </w:t>
      </w:r>
      <w:r w:rsidR="00840AC1">
        <w:rPr>
          <w:iCs/>
          <w:sz w:val="24"/>
          <w:szCs w:val="24"/>
        </w:rPr>
        <w:t xml:space="preserve">broja </w:t>
      </w:r>
      <w:r w:rsidR="00AA6906">
        <w:rPr>
          <w:iCs/>
          <w:sz w:val="24"/>
          <w:szCs w:val="24"/>
        </w:rPr>
        <w:t>izvršitelja i prava iz  kolektivnoga ugo</w:t>
      </w:r>
      <w:r w:rsidR="009208F3">
        <w:rPr>
          <w:iCs/>
          <w:sz w:val="24"/>
          <w:szCs w:val="24"/>
        </w:rPr>
        <w:t>vo</w:t>
      </w:r>
      <w:r w:rsidR="00AA6906">
        <w:rPr>
          <w:iCs/>
          <w:sz w:val="24"/>
          <w:szCs w:val="24"/>
        </w:rPr>
        <w:t>ra kao i za 2024. godinu.</w:t>
      </w:r>
    </w:p>
    <w:p w14:paraId="4FC3A1FB" w14:textId="01DF9134" w:rsidR="004E2B81" w:rsidRPr="000E4D18" w:rsidRDefault="004E2B81" w:rsidP="00CC530A">
      <w:pPr>
        <w:spacing w:after="0"/>
        <w:rPr>
          <w:szCs w:val="22"/>
          <w:lang w:val="hr-HR"/>
        </w:rPr>
      </w:pPr>
    </w:p>
    <w:p w14:paraId="7069FFED" w14:textId="77777777" w:rsidR="00883561" w:rsidRPr="00C41928" w:rsidRDefault="00883561" w:rsidP="00CC530A">
      <w:pPr>
        <w:spacing w:after="0"/>
        <w:rPr>
          <w:szCs w:val="22"/>
          <w:lang w:val="hr-HR"/>
        </w:rPr>
      </w:pPr>
    </w:p>
    <w:p w14:paraId="71E5BDCC" w14:textId="12608971" w:rsidR="00846638" w:rsidRDefault="00CC530A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="0053119B" w:rsidRPr="00C41928">
        <w:rPr>
          <w:szCs w:val="22"/>
          <w:lang w:val="hr-HR"/>
        </w:rPr>
        <w:t xml:space="preserve"> </w:t>
      </w:r>
      <w:r w:rsidRPr="00C41928">
        <w:rPr>
          <w:szCs w:val="22"/>
          <w:lang w:val="hr-HR"/>
        </w:rPr>
        <w:t xml:space="preserve"> </w:t>
      </w:r>
    </w:p>
    <w:p w14:paraId="59ABC947" w14:textId="297F39F9" w:rsidR="008B2579" w:rsidRDefault="00187A9F" w:rsidP="00A92045">
      <w:pPr>
        <w:spacing w:after="0"/>
        <w:rPr>
          <w:iCs/>
          <w:sz w:val="24"/>
          <w:szCs w:val="24"/>
        </w:rPr>
      </w:pPr>
      <w:r w:rsidRPr="007E2B23">
        <w:rPr>
          <w:sz w:val="24"/>
          <w:szCs w:val="24"/>
          <w:lang w:val="hr-HR"/>
        </w:rPr>
        <w:t xml:space="preserve">Sredstva planirana u 2024. godini u okviru materijalnih troškova </w:t>
      </w:r>
      <w:r w:rsidR="00116484">
        <w:rPr>
          <w:sz w:val="24"/>
          <w:szCs w:val="24"/>
          <w:lang w:val="hr-HR"/>
        </w:rPr>
        <w:t>uključuju i potreban iznos sredstava</w:t>
      </w:r>
      <w:r w:rsidRPr="007E2B23">
        <w:rPr>
          <w:sz w:val="24"/>
          <w:szCs w:val="24"/>
          <w:lang w:val="hr-HR"/>
        </w:rPr>
        <w:t xml:space="preserve"> za </w:t>
      </w:r>
      <w:r w:rsidR="007112D7">
        <w:rPr>
          <w:sz w:val="24"/>
          <w:szCs w:val="24"/>
          <w:lang w:val="hr-HR"/>
        </w:rPr>
        <w:t>n</w:t>
      </w:r>
      <w:r w:rsidRPr="007E2B23">
        <w:rPr>
          <w:sz w:val="24"/>
          <w:szCs w:val="24"/>
          <w:lang w:val="hr-HR"/>
        </w:rPr>
        <w:t>aknade za prijevoz i</w:t>
      </w:r>
      <w:r>
        <w:rPr>
          <w:szCs w:val="22"/>
          <w:lang w:val="hr-HR"/>
        </w:rPr>
        <w:t xml:space="preserve"> </w:t>
      </w:r>
      <w:r w:rsidRPr="007E2B23">
        <w:rPr>
          <w:sz w:val="24"/>
          <w:szCs w:val="24"/>
          <w:lang w:val="hr-HR"/>
        </w:rPr>
        <w:t xml:space="preserve">terenski rad službenika u nešto većem procijenjenom iznosu od 56.000,00 </w:t>
      </w:r>
      <w:r w:rsidRPr="007E2B23">
        <w:rPr>
          <w:i/>
          <w:iCs/>
          <w:sz w:val="24"/>
          <w:szCs w:val="24"/>
        </w:rPr>
        <w:t xml:space="preserve">€ </w:t>
      </w:r>
      <w:r w:rsidRPr="007E2B23">
        <w:rPr>
          <w:iCs/>
          <w:sz w:val="24"/>
          <w:szCs w:val="24"/>
        </w:rPr>
        <w:t>u odnosu na pl</w:t>
      </w:r>
      <w:r w:rsidR="00241F82" w:rsidRPr="007E2B23">
        <w:rPr>
          <w:iCs/>
          <w:sz w:val="24"/>
          <w:szCs w:val="24"/>
        </w:rPr>
        <w:t>a</w:t>
      </w:r>
      <w:r w:rsidRPr="007E2B23">
        <w:rPr>
          <w:iCs/>
          <w:sz w:val="24"/>
          <w:szCs w:val="24"/>
        </w:rPr>
        <w:t>nirani iznos za 2023. godinu obzirom na predviđena nova zapošljavanja</w:t>
      </w:r>
      <w:r w:rsidR="00241F82" w:rsidRPr="007E2B23">
        <w:rPr>
          <w:iCs/>
          <w:sz w:val="24"/>
          <w:szCs w:val="24"/>
        </w:rPr>
        <w:t xml:space="preserve"> 3 službenika, odnosno za</w:t>
      </w:r>
      <w:r w:rsidR="00D37D33">
        <w:rPr>
          <w:iCs/>
          <w:sz w:val="24"/>
          <w:szCs w:val="24"/>
        </w:rPr>
        <w:t xml:space="preserve"> ukupno</w:t>
      </w:r>
      <w:r w:rsidR="00241F82" w:rsidRPr="007E2B23">
        <w:rPr>
          <w:iCs/>
          <w:sz w:val="24"/>
          <w:szCs w:val="24"/>
        </w:rPr>
        <w:t xml:space="preserve"> 58</w:t>
      </w:r>
      <w:r w:rsidR="00D37D33">
        <w:rPr>
          <w:iCs/>
          <w:sz w:val="24"/>
          <w:szCs w:val="24"/>
        </w:rPr>
        <w:t xml:space="preserve"> službenika</w:t>
      </w:r>
      <w:r w:rsidR="00241F82" w:rsidRPr="007E2B23">
        <w:rPr>
          <w:iCs/>
          <w:sz w:val="24"/>
          <w:szCs w:val="24"/>
        </w:rPr>
        <w:t>. Ostal</w:t>
      </w:r>
      <w:r w:rsidR="002410EE">
        <w:rPr>
          <w:iCs/>
          <w:sz w:val="24"/>
          <w:szCs w:val="24"/>
        </w:rPr>
        <w:t>a</w:t>
      </w:r>
      <w:r w:rsidR="00241F82" w:rsidRPr="007E2B23">
        <w:rPr>
          <w:iCs/>
          <w:sz w:val="24"/>
          <w:szCs w:val="24"/>
        </w:rPr>
        <w:t xml:space="preserve"> planirana sredstva za  materijalne rashode namijenjena su za smještaj zatvorenika koji uključuje osiguranje odgovarajućih pripremljenih i posluženih obroka, materijal za propisano održavanje i čišćenje prostorija u kojima borave zatvorenici, materijal za održavanje osobne higijene zatvorenika osiguranjem pitke vode, toaletnoga papir</w:t>
      </w:r>
      <w:r w:rsidR="00D94EDE" w:rsidRPr="007E2B23">
        <w:rPr>
          <w:iCs/>
          <w:sz w:val="24"/>
          <w:szCs w:val="24"/>
        </w:rPr>
        <w:t>a</w:t>
      </w:r>
      <w:r w:rsidR="00241F82" w:rsidRPr="007E2B23">
        <w:rPr>
          <w:iCs/>
          <w:sz w:val="24"/>
          <w:szCs w:val="24"/>
        </w:rPr>
        <w:t xml:space="preserve"> i drugih higijenskih potrepština koja se sada nabavljaju na razini kaznenih tjela</w:t>
      </w:r>
      <w:r w:rsidR="00EA18BD" w:rsidRPr="007E2B23">
        <w:rPr>
          <w:iCs/>
          <w:sz w:val="24"/>
          <w:szCs w:val="24"/>
        </w:rPr>
        <w:t>,</w:t>
      </w:r>
      <w:r w:rsidR="00D94EDE" w:rsidRPr="007E2B23">
        <w:rPr>
          <w:iCs/>
          <w:sz w:val="24"/>
          <w:szCs w:val="24"/>
        </w:rPr>
        <w:t xml:space="preserve">  sredstva za osiguranje čistoće rublja, odjeće, obuće i posteljine</w:t>
      </w:r>
      <w:r w:rsidR="00EA18BD" w:rsidRPr="007E2B23">
        <w:rPr>
          <w:iCs/>
          <w:sz w:val="24"/>
          <w:szCs w:val="24"/>
        </w:rPr>
        <w:t>. Zatvorenicima se osigurava posteljina i ručnici, rublje i odjeća ako je to potrebno</w:t>
      </w:r>
      <w:r w:rsidR="002410EE">
        <w:rPr>
          <w:iCs/>
          <w:sz w:val="24"/>
          <w:szCs w:val="24"/>
        </w:rPr>
        <w:t>,  liječenje kroz</w:t>
      </w:r>
      <w:r w:rsidR="00EA18BD" w:rsidRPr="007E2B23">
        <w:rPr>
          <w:iCs/>
          <w:sz w:val="24"/>
          <w:szCs w:val="24"/>
        </w:rPr>
        <w:t xml:space="preserve"> mjere i aktivnosti zdravstvene zaštite kvalitetom i opsegom određenim u javnom zdravstvu za osigurane osobe iz obveznoga zdravstvenoga osiguranja, a oni</w:t>
      </w:r>
      <w:r w:rsidR="002410EE">
        <w:rPr>
          <w:iCs/>
          <w:sz w:val="24"/>
          <w:szCs w:val="24"/>
        </w:rPr>
        <w:t>ma</w:t>
      </w:r>
      <w:r w:rsidR="00EA18BD" w:rsidRPr="007E2B23">
        <w:rPr>
          <w:iCs/>
          <w:sz w:val="24"/>
          <w:szCs w:val="24"/>
        </w:rPr>
        <w:t xml:space="preserve"> koji nemaju </w:t>
      </w:r>
      <w:r w:rsidR="007D7D9F" w:rsidRPr="007E2B23">
        <w:rPr>
          <w:iCs/>
          <w:sz w:val="24"/>
          <w:szCs w:val="24"/>
        </w:rPr>
        <w:t>osiguranje isto se osigurava n</w:t>
      </w:r>
      <w:r w:rsidR="00631765">
        <w:rPr>
          <w:iCs/>
          <w:sz w:val="24"/>
          <w:szCs w:val="24"/>
        </w:rPr>
        <w:t>a</w:t>
      </w:r>
      <w:r w:rsidR="007D7D9F" w:rsidRPr="007E2B23">
        <w:rPr>
          <w:iCs/>
          <w:sz w:val="24"/>
          <w:szCs w:val="24"/>
        </w:rPr>
        <w:t xml:space="preserve"> teret sredstava osiguranih u okviru ove pozicije. </w:t>
      </w:r>
      <w:r w:rsidR="00E01214">
        <w:rPr>
          <w:iCs/>
          <w:sz w:val="24"/>
          <w:szCs w:val="24"/>
        </w:rPr>
        <w:t>Osobe na izdržavanju kazne zatvora</w:t>
      </w:r>
      <w:r w:rsidR="007D7D9F" w:rsidRPr="007E2B23">
        <w:rPr>
          <w:iCs/>
          <w:sz w:val="24"/>
          <w:szCs w:val="24"/>
        </w:rPr>
        <w:t xml:space="preserve"> se potiču na rad i omogućuje im se rad u zatvoru ili izvan zatvora i za navedeno se zatvorenicima isplaćuje naknada. Za uredno fun</w:t>
      </w:r>
      <w:r w:rsidR="00E01214">
        <w:rPr>
          <w:iCs/>
          <w:sz w:val="24"/>
          <w:szCs w:val="24"/>
        </w:rPr>
        <w:t xml:space="preserve">kcioniranje zatvora nabavlja se </w:t>
      </w:r>
      <w:r w:rsidR="007D7D9F" w:rsidRPr="007E2B23">
        <w:rPr>
          <w:iCs/>
          <w:sz w:val="24"/>
          <w:szCs w:val="24"/>
        </w:rPr>
        <w:t>uredski materijal</w:t>
      </w:r>
      <w:r w:rsidR="00716975" w:rsidRPr="007E2B23">
        <w:rPr>
          <w:iCs/>
          <w:sz w:val="24"/>
          <w:szCs w:val="24"/>
        </w:rPr>
        <w:t xml:space="preserve"> i drugi</w:t>
      </w:r>
      <w:r w:rsidR="00716975">
        <w:rPr>
          <w:iCs/>
          <w:sz w:val="24"/>
          <w:szCs w:val="24"/>
        </w:rPr>
        <w:t xml:space="preserve"> potreban materijal. </w:t>
      </w:r>
      <w:r w:rsidR="007D7D9F">
        <w:rPr>
          <w:iCs/>
          <w:sz w:val="24"/>
          <w:szCs w:val="24"/>
        </w:rPr>
        <w:t xml:space="preserve"> Očekivani okvirni broj osoba na izdržavanju kazne zatvora u 2024. </w:t>
      </w:r>
      <w:r w:rsidR="004643DC">
        <w:rPr>
          <w:iCs/>
          <w:sz w:val="24"/>
          <w:szCs w:val="24"/>
        </w:rPr>
        <w:t>g</w:t>
      </w:r>
      <w:r w:rsidR="007D7D9F">
        <w:rPr>
          <w:iCs/>
          <w:sz w:val="24"/>
          <w:szCs w:val="24"/>
        </w:rPr>
        <w:t xml:space="preserve">odini </w:t>
      </w:r>
      <w:r w:rsidR="008B2579">
        <w:rPr>
          <w:iCs/>
          <w:sz w:val="24"/>
          <w:szCs w:val="24"/>
        </w:rPr>
        <w:t>je prosječno 130 osoba što je više osoba nego u 2023. godini kada je planiran prosječan broj od 120 osoba.</w:t>
      </w:r>
      <w:r w:rsidR="006D525D">
        <w:rPr>
          <w:iCs/>
          <w:sz w:val="24"/>
          <w:szCs w:val="24"/>
        </w:rPr>
        <w:t xml:space="preserve"> Planirani</w:t>
      </w:r>
      <w:r w:rsidR="00E01214">
        <w:rPr>
          <w:iCs/>
          <w:sz w:val="24"/>
          <w:szCs w:val="24"/>
        </w:rPr>
        <w:t xml:space="preserve"> materij</w:t>
      </w:r>
      <w:r w:rsidR="00631765">
        <w:rPr>
          <w:iCs/>
          <w:sz w:val="24"/>
          <w:szCs w:val="24"/>
        </w:rPr>
        <w:t>a</w:t>
      </w:r>
      <w:r w:rsidR="00E01214">
        <w:rPr>
          <w:iCs/>
          <w:sz w:val="24"/>
          <w:szCs w:val="24"/>
        </w:rPr>
        <w:t>lni</w:t>
      </w:r>
      <w:r w:rsidR="006D525D">
        <w:rPr>
          <w:iCs/>
          <w:sz w:val="24"/>
          <w:szCs w:val="24"/>
        </w:rPr>
        <w:t xml:space="preserve"> rashodi u 2024. godini </w:t>
      </w:r>
      <w:r w:rsidR="008B2579">
        <w:rPr>
          <w:iCs/>
          <w:sz w:val="24"/>
          <w:szCs w:val="24"/>
        </w:rPr>
        <w:t xml:space="preserve"> </w:t>
      </w:r>
      <w:r w:rsidR="006D525D">
        <w:rPr>
          <w:iCs/>
          <w:sz w:val="24"/>
          <w:szCs w:val="24"/>
        </w:rPr>
        <w:t>veći su od planiranih u 2023. godini</w:t>
      </w:r>
      <w:r w:rsidR="00B55E7A">
        <w:rPr>
          <w:iCs/>
          <w:sz w:val="24"/>
          <w:szCs w:val="24"/>
        </w:rPr>
        <w:t xml:space="preserve"> </w:t>
      </w:r>
      <w:r w:rsidR="005510B4">
        <w:rPr>
          <w:iCs/>
          <w:sz w:val="24"/>
          <w:szCs w:val="24"/>
        </w:rPr>
        <w:t xml:space="preserve">i </w:t>
      </w:r>
      <w:r w:rsidR="00B55E7A">
        <w:rPr>
          <w:iCs/>
          <w:sz w:val="24"/>
          <w:szCs w:val="24"/>
        </w:rPr>
        <w:t xml:space="preserve">zbog očekivanih daljnjih </w:t>
      </w:r>
      <w:r w:rsidR="006D525D">
        <w:rPr>
          <w:iCs/>
          <w:sz w:val="24"/>
          <w:szCs w:val="24"/>
        </w:rPr>
        <w:t>inflacijskih učinaka na cijene materijala, usluga</w:t>
      </w:r>
      <w:r w:rsidR="00FA4379">
        <w:rPr>
          <w:iCs/>
          <w:sz w:val="24"/>
          <w:szCs w:val="24"/>
        </w:rPr>
        <w:t xml:space="preserve"> i radova</w:t>
      </w:r>
      <w:r w:rsidR="00B55E7A">
        <w:rPr>
          <w:iCs/>
          <w:sz w:val="24"/>
          <w:szCs w:val="24"/>
        </w:rPr>
        <w:t>,</w:t>
      </w:r>
      <w:r w:rsidR="00FA4379">
        <w:rPr>
          <w:iCs/>
          <w:sz w:val="24"/>
          <w:szCs w:val="24"/>
        </w:rPr>
        <w:t xml:space="preserve"> te je u planiranju ovih rashoda uzeta u obzir</w:t>
      </w:r>
      <w:r w:rsidR="00B55E7A">
        <w:rPr>
          <w:iCs/>
          <w:sz w:val="24"/>
          <w:szCs w:val="24"/>
        </w:rPr>
        <w:t xml:space="preserve"> </w:t>
      </w:r>
      <w:r w:rsidR="00FA4379">
        <w:rPr>
          <w:iCs/>
          <w:sz w:val="24"/>
          <w:szCs w:val="24"/>
        </w:rPr>
        <w:t xml:space="preserve"> ocijenjena stopa od okvirno 9% </w:t>
      </w:r>
      <w:r w:rsidR="00B55E7A">
        <w:rPr>
          <w:iCs/>
          <w:sz w:val="24"/>
          <w:szCs w:val="24"/>
        </w:rPr>
        <w:t xml:space="preserve"> planirana </w:t>
      </w:r>
      <w:r w:rsidR="00FA4379">
        <w:rPr>
          <w:iCs/>
          <w:sz w:val="24"/>
          <w:szCs w:val="24"/>
        </w:rPr>
        <w:t xml:space="preserve"> za 2023. godinu  iz sažetka jesenske makroekonomske projekcije HNB-a za Hrvatsku iz rujna 2023. godine.</w:t>
      </w:r>
    </w:p>
    <w:p w14:paraId="7107F331" w14:textId="6EC574E0" w:rsidR="008F4CF7" w:rsidRDefault="008F4CF7" w:rsidP="00A9204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Kako u okviru ovih rashoda najznačajniji iznosi se  bilježe na pozicijama nabave hrane</w:t>
      </w:r>
      <w:r w:rsidR="00323AD2">
        <w:rPr>
          <w:iCs/>
          <w:sz w:val="24"/>
          <w:szCs w:val="24"/>
        </w:rPr>
        <w:t xml:space="preserve"> i </w:t>
      </w:r>
      <w:r>
        <w:rPr>
          <w:iCs/>
          <w:sz w:val="24"/>
          <w:szCs w:val="24"/>
        </w:rPr>
        <w:t xml:space="preserve"> energije</w:t>
      </w:r>
      <w:r w:rsidR="004359EE">
        <w:rPr>
          <w:iCs/>
          <w:sz w:val="24"/>
          <w:szCs w:val="24"/>
        </w:rPr>
        <w:t xml:space="preserve"> </w:t>
      </w:r>
      <w:r w:rsidR="00323AD2">
        <w:rPr>
          <w:iCs/>
          <w:sz w:val="24"/>
          <w:szCs w:val="24"/>
        </w:rPr>
        <w:t xml:space="preserve"> rizici rasta ovih troškova su i dalje veliki. Izraž</w:t>
      </w:r>
      <w:r w:rsidR="00616AB9">
        <w:rPr>
          <w:iCs/>
          <w:sz w:val="24"/>
          <w:szCs w:val="24"/>
        </w:rPr>
        <w:t>e</w:t>
      </w:r>
      <w:r w:rsidR="00323AD2">
        <w:rPr>
          <w:iCs/>
          <w:sz w:val="24"/>
          <w:szCs w:val="24"/>
        </w:rPr>
        <w:t>nijem rastu cijena namirnica koje zatvor mora nabavljati i dalje  mogu pridonijeti i nepovoljne vremenske prilike, te činjenica da se u okviru regionalne proizvodnje iz Kaznionice u Lipovici iz istoga razloga ne mogu očekivati isporuke proizvoda za prehr</w:t>
      </w:r>
      <w:r w:rsidR="00631765">
        <w:rPr>
          <w:iCs/>
          <w:sz w:val="24"/>
          <w:szCs w:val="24"/>
        </w:rPr>
        <w:t>a</w:t>
      </w:r>
      <w:r w:rsidR="00323AD2">
        <w:rPr>
          <w:iCs/>
          <w:sz w:val="24"/>
          <w:szCs w:val="24"/>
        </w:rPr>
        <w:t xml:space="preserve">nu zatvorenika  </w:t>
      </w:r>
      <w:r w:rsidR="00230C2D">
        <w:rPr>
          <w:iCs/>
          <w:sz w:val="24"/>
          <w:szCs w:val="24"/>
        </w:rPr>
        <w:t xml:space="preserve"> budući da </w:t>
      </w:r>
      <w:r w:rsidR="00323AD2">
        <w:rPr>
          <w:iCs/>
          <w:sz w:val="24"/>
          <w:szCs w:val="24"/>
        </w:rPr>
        <w:t>već u 2023. godini</w:t>
      </w:r>
      <w:r w:rsidR="00230C2D">
        <w:rPr>
          <w:iCs/>
          <w:sz w:val="24"/>
          <w:szCs w:val="24"/>
        </w:rPr>
        <w:t xml:space="preserve"> je zn</w:t>
      </w:r>
      <w:r w:rsidR="00631765">
        <w:rPr>
          <w:iCs/>
          <w:sz w:val="24"/>
          <w:szCs w:val="24"/>
        </w:rPr>
        <w:t>a</w:t>
      </w:r>
      <w:r w:rsidR="00230C2D">
        <w:rPr>
          <w:iCs/>
          <w:sz w:val="24"/>
          <w:szCs w:val="24"/>
        </w:rPr>
        <w:t>tno smanjena isporuka povrća i voća</w:t>
      </w:r>
      <w:r w:rsidR="00323AD2">
        <w:rPr>
          <w:iCs/>
          <w:sz w:val="24"/>
          <w:szCs w:val="24"/>
        </w:rPr>
        <w:t xml:space="preserve"> </w:t>
      </w:r>
      <w:r w:rsidR="00616AB9">
        <w:rPr>
          <w:iCs/>
          <w:sz w:val="24"/>
          <w:szCs w:val="24"/>
        </w:rPr>
        <w:t>u odnosu kao</w:t>
      </w:r>
      <w:r w:rsidR="00323AD2">
        <w:rPr>
          <w:iCs/>
          <w:sz w:val="24"/>
          <w:szCs w:val="24"/>
        </w:rPr>
        <w:t xml:space="preserve"> što je to ranije bilo moguće</w:t>
      </w:r>
      <w:r w:rsidR="00616AB9">
        <w:rPr>
          <w:iCs/>
          <w:sz w:val="24"/>
          <w:szCs w:val="24"/>
        </w:rPr>
        <w:t>,</w:t>
      </w:r>
      <w:r w:rsidR="00323AD2">
        <w:rPr>
          <w:iCs/>
          <w:sz w:val="24"/>
          <w:szCs w:val="24"/>
        </w:rPr>
        <w:t xml:space="preserve"> te će procijena nabave potrebnih količina  za prehranu </w:t>
      </w:r>
      <w:r w:rsidR="005510B4">
        <w:rPr>
          <w:iCs/>
          <w:sz w:val="24"/>
          <w:szCs w:val="24"/>
        </w:rPr>
        <w:t xml:space="preserve">u 2024. godini </w:t>
      </w:r>
      <w:r w:rsidR="00323AD2">
        <w:rPr>
          <w:iCs/>
          <w:sz w:val="24"/>
          <w:szCs w:val="24"/>
        </w:rPr>
        <w:t xml:space="preserve">biti  veća nego </w:t>
      </w:r>
      <w:r w:rsidR="005510B4">
        <w:rPr>
          <w:iCs/>
          <w:sz w:val="24"/>
          <w:szCs w:val="24"/>
        </w:rPr>
        <w:t>za</w:t>
      </w:r>
      <w:r w:rsidR="00323AD2">
        <w:rPr>
          <w:iCs/>
          <w:sz w:val="24"/>
          <w:szCs w:val="24"/>
        </w:rPr>
        <w:t xml:space="preserve"> 2023. godin</w:t>
      </w:r>
      <w:r w:rsidR="005510B4">
        <w:rPr>
          <w:iCs/>
          <w:sz w:val="24"/>
          <w:szCs w:val="24"/>
        </w:rPr>
        <w:t>u</w:t>
      </w:r>
      <w:r w:rsidR="00323AD2">
        <w:rPr>
          <w:iCs/>
          <w:sz w:val="24"/>
          <w:szCs w:val="24"/>
        </w:rPr>
        <w:t>.</w:t>
      </w:r>
    </w:p>
    <w:p w14:paraId="0B2DC9AA" w14:textId="77777777" w:rsidR="009F4914" w:rsidRDefault="009F4914" w:rsidP="00A92045">
      <w:pPr>
        <w:spacing w:after="0"/>
        <w:rPr>
          <w:iCs/>
          <w:sz w:val="24"/>
          <w:szCs w:val="24"/>
        </w:rPr>
      </w:pPr>
    </w:p>
    <w:p w14:paraId="3A7D8166" w14:textId="4C1F3663" w:rsidR="009C6B50" w:rsidRPr="00203FF5" w:rsidRDefault="009F4914" w:rsidP="00A92045">
      <w:pPr>
        <w:spacing w:after="0"/>
        <w:rPr>
          <w:sz w:val="24"/>
          <w:szCs w:val="24"/>
          <w:lang w:val="hr-HR"/>
        </w:rPr>
      </w:pPr>
      <w:r w:rsidRPr="00203FF5">
        <w:rPr>
          <w:sz w:val="24"/>
          <w:szCs w:val="24"/>
          <w:lang w:val="hr-HR"/>
        </w:rPr>
        <w:t xml:space="preserve">Planirani materijalni rashodi u 2025. godini u odnosu na 2024. godinu utvrđeni su primjenom postotka od 0,3818 % na </w:t>
      </w:r>
      <w:r w:rsidR="00DF0557">
        <w:rPr>
          <w:sz w:val="24"/>
          <w:szCs w:val="24"/>
          <w:lang w:val="hr-HR"/>
        </w:rPr>
        <w:t>svaku</w:t>
      </w:r>
      <w:r w:rsidRPr="00203FF5">
        <w:rPr>
          <w:sz w:val="24"/>
          <w:szCs w:val="24"/>
          <w:lang w:val="hr-HR"/>
        </w:rPr>
        <w:t xml:space="preserve"> stavk</w:t>
      </w:r>
      <w:r w:rsidR="00DF0557">
        <w:rPr>
          <w:sz w:val="24"/>
          <w:szCs w:val="24"/>
          <w:lang w:val="hr-HR"/>
        </w:rPr>
        <w:t>u</w:t>
      </w:r>
      <w:r w:rsidRPr="00203FF5">
        <w:rPr>
          <w:sz w:val="24"/>
          <w:szCs w:val="24"/>
          <w:lang w:val="hr-HR"/>
        </w:rPr>
        <w:t xml:space="preserve"> materijalnih rashoda kako bi se poštivali  određeni zadani limiti, dok su iznosi materijalnih rashoda za 2026. godinu  utvrđeni na način da je na iznose </w:t>
      </w:r>
      <w:r w:rsidR="00DF0557">
        <w:rPr>
          <w:sz w:val="24"/>
          <w:szCs w:val="24"/>
          <w:lang w:val="hr-HR"/>
        </w:rPr>
        <w:t>svake</w:t>
      </w:r>
      <w:r w:rsidRPr="00203FF5">
        <w:rPr>
          <w:sz w:val="24"/>
          <w:szCs w:val="24"/>
          <w:lang w:val="hr-HR"/>
        </w:rPr>
        <w:t xml:space="preserve"> stavke materijalnih rashoda </w:t>
      </w:r>
      <w:r w:rsidR="00A338D8" w:rsidRPr="00203FF5">
        <w:rPr>
          <w:sz w:val="24"/>
          <w:szCs w:val="24"/>
          <w:lang w:val="hr-HR"/>
        </w:rPr>
        <w:t xml:space="preserve"> iz 2025. godine </w:t>
      </w:r>
      <w:r w:rsidRPr="00203FF5">
        <w:rPr>
          <w:sz w:val="24"/>
          <w:szCs w:val="24"/>
          <w:lang w:val="hr-HR"/>
        </w:rPr>
        <w:t>primijenjen postotak od 1,1388 % kako bi se poštivali određeni zadani limiti.</w:t>
      </w:r>
    </w:p>
    <w:p w14:paraId="4034830E" w14:textId="24FF60A8" w:rsidR="009F4914" w:rsidRPr="00203FF5" w:rsidRDefault="009F4914" w:rsidP="00A92045">
      <w:pPr>
        <w:spacing w:after="0"/>
        <w:rPr>
          <w:sz w:val="24"/>
          <w:szCs w:val="24"/>
          <w:lang w:val="hr-HR"/>
        </w:rPr>
      </w:pPr>
      <w:r w:rsidRPr="00203FF5">
        <w:rPr>
          <w:sz w:val="24"/>
          <w:szCs w:val="24"/>
          <w:lang w:val="hr-HR"/>
        </w:rPr>
        <w:lastRenderedPageBreak/>
        <w:t>Slijedom navedenoga može se zaključiti da su planirani iznosi materijalnih rashoda u 2025. i 2026. godini neznatno i simbolično uvećani u odnosu na plan iz 2024. godine.</w:t>
      </w:r>
    </w:p>
    <w:p w14:paraId="6BAB84A3" w14:textId="77777777" w:rsidR="00203FF5" w:rsidRPr="00203FF5" w:rsidRDefault="00203FF5" w:rsidP="00A92045">
      <w:pPr>
        <w:spacing w:after="0"/>
        <w:rPr>
          <w:sz w:val="24"/>
          <w:szCs w:val="24"/>
          <w:lang w:val="hr-HR"/>
        </w:rPr>
      </w:pPr>
    </w:p>
    <w:p w14:paraId="48203257" w14:textId="77777777" w:rsidR="00480D5B" w:rsidRPr="001C051D" w:rsidRDefault="00480D5B" w:rsidP="00A92045">
      <w:pPr>
        <w:spacing w:after="0"/>
        <w:rPr>
          <w:i/>
          <w:iCs/>
          <w:szCs w:val="22"/>
          <w:lang w:val="hr-HR"/>
        </w:rPr>
      </w:pPr>
    </w:p>
    <w:p w14:paraId="5E8B1F1A" w14:textId="359A4127" w:rsidR="00682EA5" w:rsidRDefault="00D67468" w:rsidP="00A92045">
      <w:pPr>
        <w:spacing w:after="0"/>
        <w:rPr>
          <w:b/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</w:t>
      </w:r>
      <w:r w:rsidR="00EE6B33" w:rsidRPr="00C41928">
        <w:rPr>
          <w:b/>
          <w:szCs w:val="22"/>
          <w:lang w:val="hr-HR"/>
        </w:rPr>
        <w:t xml:space="preserve">Financijski rashodi </w:t>
      </w:r>
    </w:p>
    <w:p w14:paraId="0F2E0DF7" w14:textId="77777777" w:rsidR="0088364E" w:rsidRDefault="0088364E" w:rsidP="00A92045">
      <w:pPr>
        <w:spacing w:after="0"/>
        <w:rPr>
          <w:b/>
          <w:szCs w:val="22"/>
          <w:lang w:val="hr-HR"/>
        </w:rPr>
      </w:pPr>
    </w:p>
    <w:p w14:paraId="1401D91A" w14:textId="5073E82E" w:rsidR="0088364E" w:rsidRPr="00D93FFD" w:rsidRDefault="0088364E" w:rsidP="00A92045">
      <w:pPr>
        <w:spacing w:after="0"/>
        <w:rPr>
          <w:sz w:val="24"/>
          <w:szCs w:val="24"/>
          <w:lang w:val="hr-HR"/>
        </w:rPr>
      </w:pPr>
      <w:r w:rsidRPr="00D93FFD">
        <w:rPr>
          <w:sz w:val="24"/>
          <w:szCs w:val="24"/>
          <w:lang w:val="hr-HR"/>
        </w:rPr>
        <w:t xml:space="preserve">Planirani financijski rashodi u 2024. godini </w:t>
      </w:r>
      <w:r w:rsidR="00575D58" w:rsidRPr="00D93FFD">
        <w:rPr>
          <w:sz w:val="24"/>
          <w:szCs w:val="24"/>
          <w:lang w:val="hr-HR"/>
        </w:rPr>
        <w:t xml:space="preserve"> za bankarske usluge </w:t>
      </w:r>
      <w:r w:rsidRPr="00D93FFD">
        <w:rPr>
          <w:sz w:val="24"/>
          <w:szCs w:val="24"/>
          <w:lang w:val="hr-HR"/>
        </w:rPr>
        <w:t xml:space="preserve">u odnosu </w:t>
      </w:r>
      <w:r w:rsidR="00DF0557" w:rsidRPr="00D93FFD">
        <w:rPr>
          <w:sz w:val="24"/>
          <w:szCs w:val="24"/>
          <w:lang w:val="hr-HR"/>
        </w:rPr>
        <w:t xml:space="preserve">na </w:t>
      </w:r>
      <w:r w:rsidRPr="00D93FFD">
        <w:rPr>
          <w:sz w:val="24"/>
          <w:szCs w:val="24"/>
          <w:lang w:val="hr-HR"/>
        </w:rPr>
        <w:t>one iz tekuće proračunske godine veći su za  88,32 %.</w:t>
      </w:r>
      <w:r w:rsidR="00575D58" w:rsidRPr="00D93FFD">
        <w:rPr>
          <w:sz w:val="24"/>
          <w:szCs w:val="24"/>
          <w:lang w:val="hr-HR"/>
        </w:rPr>
        <w:t xml:space="preserve"> Navedeno povećanje je procjena povećanja rashoda koji će nastati zbog činjenice d</w:t>
      </w:r>
      <w:r w:rsidR="00A338D8" w:rsidRPr="00D93FFD">
        <w:rPr>
          <w:sz w:val="24"/>
          <w:szCs w:val="24"/>
          <w:lang w:val="hr-HR"/>
        </w:rPr>
        <w:t>a će se svi nalozi za plaćanje od</w:t>
      </w:r>
      <w:r w:rsidR="00575D58" w:rsidRPr="00D93FFD">
        <w:rPr>
          <w:sz w:val="24"/>
          <w:szCs w:val="24"/>
          <w:lang w:val="hr-HR"/>
        </w:rPr>
        <w:t xml:space="preserve"> listopada 2023. godine izvršavati sa računa kaznenoga tijela</w:t>
      </w:r>
      <w:r w:rsidR="00A338D8" w:rsidRPr="00D93FFD">
        <w:rPr>
          <w:sz w:val="24"/>
          <w:szCs w:val="24"/>
          <w:lang w:val="hr-HR"/>
        </w:rPr>
        <w:t>, a ne više neki  učitavati u riznicu putem Financijske agencije na teret računa Državnoga proračuna. Slijedom navedenoga će se sve</w:t>
      </w:r>
      <w:r w:rsidR="00575D58" w:rsidRPr="00D93FFD">
        <w:rPr>
          <w:sz w:val="24"/>
          <w:szCs w:val="24"/>
          <w:lang w:val="hr-HR"/>
        </w:rPr>
        <w:t xml:space="preserve"> </w:t>
      </w:r>
      <w:r w:rsidR="00A338D8" w:rsidRPr="00D93FFD">
        <w:rPr>
          <w:sz w:val="24"/>
          <w:szCs w:val="24"/>
          <w:lang w:val="hr-HR"/>
        </w:rPr>
        <w:t>naknade</w:t>
      </w:r>
      <w:r w:rsidR="00575D58" w:rsidRPr="00D93FFD">
        <w:rPr>
          <w:sz w:val="24"/>
          <w:szCs w:val="24"/>
          <w:lang w:val="hr-HR"/>
        </w:rPr>
        <w:t xml:space="preserve"> za bankarske usluge u slijedećim godinama </w:t>
      </w:r>
      <w:r w:rsidR="00A338D8" w:rsidRPr="00D93FFD">
        <w:rPr>
          <w:sz w:val="24"/>
          <w:szCs w:val="24"/>
          <w:lang w:val="hr-HR"/>
        </w:rPr>
        <w:t>eviden</w:t>
      </w:r>
      <w:r w:rsidR="00671B27" w:rsidRPr="00D93FFD">
        <w:rPr>
          <w:sz w:val="24"/>
          <w:szCs w:val="24"/>
          <w:lang w:val="hr-HR"/>
        </w:rPr>
        <w:t>tirati na rashodima zatvora i time povećati iste.</w:t>
      </w:r>
    </w:p>
    <w:p w14:paraId="114EC2C9" w14:textId="0BCFB666" w:rsidR="00421FA7" w:rsidRPr="00D93FFD" w:rsidRDefault="00421FA7" w:rsidP="00A92045">
      <w:pPr>
        <w:spacing w:after="0"/>
        <w:rPr>
          <w:sz w:val="24"/>
          <w:szCs w:val="24"/>
          <w:lang w:val="hr-HR"/>
        </w:rPr>
      </w:pPr>
      <w:r w:rsidRPr="00D93FFD">
        <w:rPr>
          <w:sz w:val="24"/>
          <w:szCs w:val="24"/>
          <w:lang w:val="hr-HR"/>
        </w:rPr>
        <w:t>Planirani iznosi na poziciji Financijskih rashoda za 2025. i 2026. godinu usklađeni su sa dostavljenim limitima.</w:t>
      </w:r>
    </w:p>
    <w:p w14:paraId="7BD9E61D" w14:textId="77777777" w:rsidR="009C6B50" w:rsidRPr="00203FF5" w:rsidRDefault="009C6B50" w:rsidP="00A92045">
      <w:pPr>
        <w:spacing w:after="0"/>
        <w:rPr>
          <w:b/>
          <w:sz w:val="24"/>
          <w:szCs w:val="24"/>
          <w:lang w:val="hr-HR"/>
        </w:rPr>
      </w:pPr>
    </w:p>
    <w:p w14:paraId="715DF259" w14:textId="76FBE735" w:rsidR="009C6B50" w:rsidRDefault="009C6B50" w:rsidP="00A92045">
      <w:pPr>
        <w:spacing w:after="0"/>
        <w:rPr>
          <w:b/>
          <w:szCs w:val="22"/>
          <w:lang w:val="hr-HR"/>
        </w:rPr>
      </w:pPr>
      <w:r>
        <w:rPr>
          <w:b/>
          <w:szCs w:val="22"/>
          <w:lang w:val="hr-HR"/>
        </w:rPr>
        <w:t>38 Ostali rashodi</w:t>
      </w:r>
    </w:p>
    <w:p w14:paraId="3EFD35FB" w14:textId="77777777" w:rsidR="008E4053" w:rsidRDefault="008E4053" w:rsidP="00A92045">
      <w:pPr>
        <w:spacing w:after="0"/>
        <w:rPr>
          <w:b/>
          <w:szCs w:val="22"/>
          <w:lang w:val="hr-HR"/>
        </w:rPr>
      </w:pPr>
    </w:p>
    <w:p w14:paraId="22DE61D0" w14:textId="4766C8C9" w:rsidR="00EF39DA" w:rsidRDefault="008E4053" w:rsidP="0046712B">
      <w:pPr>
        <w:rPr>
          <w:szCs w:val="22"/>
          <w:lang w:val="hr-HR"/>
        </w:rPr>
      </w:pPr>
      <w:r>
        <w:rPr>
          <w:sz w:val="24"/>
          <w:szCs w:val="24"/>
        </w:rPr>
        <w:t>Odnose se na projekt organizacije civilnoga društva - udruge Centar za mentalno zdravlje usmjerenoga pružanju potpore provođenju pojedinačnog programa izvršavanja kazne zatvora.</w:t>
      </w:r>
      <w:r w:rsidR="0046712B">
        <w:rPr>
          <w:sz w:val="24"/>
          <w:szCs w:val="24"/>
        </w:rPr>
        <w:t xml:space="preserve"> </w:t>
      </w:r>
      <w:r w:rsidR="0046712B" w:rsidRPr="0046712B">
        <w:rPr>
          <w:sz w:val="24"/>
          <w:szCs w:val="24"/>
        </w:rPr>
        <w:t xml:space="preserve"> </w:t>
      </w:r>
      <w:r w:rsidR="007A2DBC">
        <w:rPr>
          <w:sz w:val="24"/>
          <w:szCs w:val="24"/>
        </w:rPr>
        <w:t>I</w:t>
      </w:r>
      <w:r w:rsidR="0046712B" w:rsidRPr="0046712B">
        <w:rPr>
          <w:sz w:val="24"/>
          <w:szCs w:val="24"/>
        </w:rPr>
        <w:t>znos</w:t>
      </w:r>
      <w:r w:rsidR="00267E4B">
        <w:rPr>
          <w:sz w:val="24"/>
          <w:szCs w:val="24"/>
        </w:rPr>
        <w:t xml:space="preserve"> od 10.751,00 </w:t>
      </w:r>
      <w:r w:rsidR="00267E4B">
        <w:rPr>
          <w:i/>
          <w:iCs/>
          <w:sz w:val="24"/>
          <w:szCs w:val="24"/>
        </w:rPr>
        <w:t xml:space="preserve">€ </w:t>
      </w:r>
      <w:r w:rsidR="0046712B" w:rsidRPr="0046712B">
        <w:rPr>
          <w:sz w:val="24"/>
          <w:szCs w:val="24"/>
        </w:rPr>
        <w:t xml:space="preserve"> predstavlja 30% od ukupno odobrenog</w:t>
      </w:r>
      <w:r w:rsidR="0046712B">
        <w:rPr>
          <w:sz w:val="24"/>
          <w:szCs w:val="24"/>
        </w:rPr>
        <w:t xml:space="preserve"> iznosa iz ugovora koji je</w:t>
      </w:r>
      <w:r w:rsidR="00FE13EA">
        <w:rPr>
          <w:sz w:val="24"/>
          <w:szCs w:val="24"/>
        </w:rPr>
        <w:t xml:space="preserve"> sklopljen 02.06.2023. godine za </w:t>
      </w:r>
      <w:r w:rsidR="0046712B">
        <w:rPr>
          <w:sz w:val="24"/>
          <w:szCs w:val="24"/>
        </w:rPr>
        <w:t xml:space="preserve"> razdoblje provedbe projekta </w:t>
      </w:r>
      <w:r w:rsidR="00FE13EA">
        <w:rPr>
          <w:sz w:val="24"/>
          <w:szCs w:val="24"/>
        </w:rPr>
        <w:t>od</w:t>
      </w:r>
      <w:r w:rsidR="0046712B">
        <w:rPr>
          <w:sz w:val="24"/>
          <w:szCs w:val="24"/>
        </w:rPr>
        <w:t xml:space="preserve"> 12 mjeseci, te se proteže i u 2024. godinu</w:t>
      </w:r>
      <w:r w:rsidR="00267E4B">
        <w:rPr>
          <w:sz w:val="24"/>
          <w:szCs w:val="24"/>
        </w:rPr>
        <w:t>.</w:t>
      </w:r>
      <w:bookmarkStart w:id="1" w:name="_Hlk146194062"/>
      <w:bookmarkEnd w:id="1"/>
      <w:r w:rsidR="007A2DBC">
        <w:rPr>
          <w:sz w:val="24"/>
          <w:szCs w:val="24"/>
        </w:rPr>
        <w:t xml:space="preserve"> U 2024. godini ukupno je na ovoj poziciji planiran iznos od 32.000,00 eura koji uključuje dakle već ranije spomenuti iznos, a preostli iznos se odnosi na buduće nove projekte koje će provoditi udruge civilnoga društva odabrane putem objavljenih natječaja. N</w:t>
      </w:r>
      <w:r w:rsidR="00EF39DA">
        <w:rPr>
          <w:sz w:val="24"/>
          <w:szCs w:val="24"/>
        </w:rPr>
        <w:t>a navedenoj poziciji za 2025.</w:t>
      </w:r>
      <w:r w:rsidR="007A2DBC">
        <w:rPr>
          <w:sz w:val="24"/>
          <w:szCs w:val="24"/>
        </w:rPr>
        <w:t xml:space="preserve"> godinu planiran je iznos od 34.500,00 </w:t>
      </w:r>
      <w:r w:rsidR="007A2DBC">
        <w:rPr>
          <w:i/>
          <w:iCs/>
          <w:sz w:val="24"/>
          <w:szCs w:val="24"/>
        </w:rPr>
        <w:t xml:space="preserve">€, </w:t>
      </w:r>
      <w:r w:rsidR="007A2DBC">
        <w:rPr>
          <w:sz w:val="24"/>
          <w:szCs w:val="24"/>
        </w:rPr>
        <w:t>a za</w:t>
      </w:r>
      <w:r w:rsidR="00EF39DA">
        <w:rPr>
          <w:sz w:val="24"/>
          <w:szCs w:val="24"/>
        </w:rPr>
        <w:t xml:space="preserve">  2026. godinu </w:t>
      </w:r>
      <w:r w:rsidR="007A2DBC">
        <w:rPr>
          <w:sz w:val="24"/>
          <w:szCs w:val="24"/>
        </w:rPr>
        <w:t xml:space="preserve">planiran je iznos od 35.200,00 </w:t>
      </w:r>
      <w:r w:rsidR="007A2DBC">
        <w:rPr>
          <w:i/>
          <w:iCs/>
          <w:sz w:val="24"/>
          <w:szCs w:val="24"/>
        </w:rPr>
        <w:t>€</w:t>
      </w:r>
      <w:r w:rsidR="00EF39DA">
        <w:rPr>
          <w:sz w:val="24"/>
          <w:szCs w:val="24"/>
        </w:rPr>
        <w:t>.</w:t>
      </w:r>
      <w:r w:rsidR="007A2DBC">
        <w:rPr>
          <w:sz w:val="24"/>
          <w:szCs w:val="24"/>
        </w:rPr>
        <w:t xml:space="preserve"> Navedena sredstva planiraju se u</w:t>
      </w:r>
      <w:r w:rsidR="00F9607A">
        <w:rPr>
          <w:sz w:val="24"/>
          <w:szCs w:val="24"/>
        </w:rPr>
        <w:t>trošiti na buduće nove projekte udruga civilnog društva.</w:t>
      </w:r>
    </w:p>
    <w:p w14:paraId="79C23D19" w14:textId="77777777" w:rsidR="00780A30" w:rsidRPr="00C41928" w:rsidRDefault="00780A30" w:rsidP="00A92045">
      <w:pPr>
        <w:spacing w:after="0"/>
        <w:rPr>
          <w:b/>
          <w:szCs w:val="22"/>
          <w:lang w:val="hr-HR"/>
        </w:rPr>
      </w:pPr>
    </w:p>
    <w:p w14:paraId="50FE6AA7" w14:textId="77777777" w:rsidR="00EF39DA" w:rsidRDefault="00FC6664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  <w:r w:rsidR="00CA16CE" w:rsidRPr="00C41928">
        <w:rPr>
          <w:szCs w:val="22"/>
          <w:lang w:val="hr-HR"/>
        </w:rPr>
        <w:t xml:space="preserve"> </w:t>
      </w:r>
    </w:p>
    <w:p w14:paraId="1A90169B" w14:textId="77777777" w:rsidR="00EF39DA" w:rsidRDefault="00EF39DA" w:rsidP="00A92045">
      <w:pPr>
        <w:spacing w:after="0"/>
        <w:rPr>
          <w:szCs w:val="22"/>
          <w:lang w:val="hr-HR"/>
        </w:rPr>
      </w:pPr>
    </w:p>
    <w:p w14:paraId="3D018DB0" w14:textId="497D5CE7" w:rsidR="009629B8" w:rsidRPr="00D93FFD" w:rsidRDefault="00472AC1" w:rsidP="00A92045">
      <w:pPr>
        <w:spacing w:after="0"/>
        <w:rPr>
          <w:i/>
          <w:iCs/>
          <w:sz w:val="24"/>
          <w:szCs w:val="24"/>
        </w:rPr>
      </w:pPr>
      <w:r w:rsidRPr="00D93FFD">
        <w:rPr>
          <w:sz w:val="24"/>
          <w:szCs w:val="24"/>
          <w:lang w:val="hr-HR"/>
        </w:rPr>
        <w:t xml:space="preserve">Planiranim novčanim sredstvima  od 60,000,00 </w:t>
      </w:r>
      <w:r w:rsidRPr="00D93FFD">
        <w:rPr>
          <w:i/>
          <w:iCs/>
          <w:sz w:val="24"/>
          <w:szCs w:val="24"/>
        </w:rPr>
        <w:t>€</w:t>
      </w:r>
      <w:r w:rsidRPr="00D93FFD">
        <w:rPr>
          <w:sz w:val="24"/>
          <w:szCs w:val="24"/>
          <w:lang w:val="hr-HR"/>
        </w:rPr>
        <w:t xml:space="preserve"> </w:t>
      </w:r>
      <w:r w:rsidR="0050391E" w:rsidRPr="00D93FFD">
        <w:rPr>
          <w:sz w:val="24"/>
          <w:szCs w:val="24"/>
          <w:lang w:val="hr-HR"/>
        </w:rPr>
        <w:t>za 2024. godinu</w:t>
      </w:r>
      <w:r w:rsidRPr="00D93FFD">
        <w:rPr>
          <w:sz w:val="24"/>
          <w:szCs w:val="24"/>
          <w:lang w:val="hr-HR"/>
        </w:rPr>
        <w:t xml:space="preserve"> u okviru ovih rashoda predviđa se nabava;</w:t>
      </w:r>
      <w:r w:rsidR="0050391E" w:rsidRPr="00D93FFD">
        <w:rPr>
          <w:sz w:val="24"/>
          <w:szCs w:val="24"/>
          <w:lang w:val="hr-HR"/>
        </w:rPr>
        <w:t xml:space="preserve"> </w:t>
      </w:r>
      <w:r w:rsidRPr="00D93FFD">
        <w:rPr>
          <w:sz w:val="24"/>
          <w:szCs w:val="24"/>
          <w:lang w:val="hr-HR"/>
        </w:rPr>
        <w:t xml:space="preserve">sušilice za rublje  u iznosu od 20.000,00 </w:t>
      </w:r>
      <w:r w:rsidRPr="00D93FFD">
        <w:rPr>
          <w:i/>
          <w:iCs/>
          <w:sz w:val="24"/>
          <w:szCs w:val="24"/>
        </w:rPr>
        <w:t xml:space="preserve">€, </w:t>
      </w:r>
      <w:r w:rsidRPr="00D93FFD">
        <w:rPr>
          <w:iCs/>
          <w:sz w:val="24"/>
          <w:szCs w:val="24"/>
        </w:rPr>
        <w:t xml:space="preserve">rashladne komore u plusu u iznosu od </w:t>
      </w:r>
      <w:r w:rsidR="009629B8" w:rsidRPr="00D93FFD">
        <w:rPr>
          <w:iCs/>
          <w:sz w:val="24"/>
          <w:szCs w:val="24"/>
        </w:rPr>
        <w:t>20</w:t>
      </w:r>
      <w:r w:rsidRPr="00D93FFD">
        <w:rPr>
          <w:iCs/>
          <w:sz w:val="24"/>
          <w:szCs w:val="24"/>
        </w:rPr>
        <w:t>.000,00</w:t>
      </w:r>
      <w:r w:rsidRPr="00D93FFD">
        <w:rPr>
          <w:i/>
          <w:iCs/>
          <w:sz w:val="24"/>
          <w:szCs w:val="24"/>
        </w:rPr>
        <w:t xml:space="preserve"> €</w:t>
      </w:r>
      <w:r w:rsidR="0050391E" w:rsidRPr="00D93FFD">
        <w:rPr>
          <w:i/>
          <w:iCs/>
          <w:sz w:val="24"/>
          <w:szCs w:val="24"/>
        </w:rPr>
        <w:t xml:space="preserve"> </w:t>
      </w:r>
      <w:r w:rsidR="009629B8" w:rsidRPr="00D93FFD">
        <w:rPr>
          <w:iCs/>
          <w:sz w:val="24"/>
          <w:szCs w:val="24"/>
        </w:rPr>
        <w:t xml:space="preserve">i civilnog osobnog vozila u iznosu od 20.000,00 </w:t>
      </w:r>
      <w:r w:rsidR="009629B8" w:rsidRPr="00D93FFD">
        <w:rPr>
          <w:i/>
          <w:iCs/>
          <w:sz w:val="24"/>
          <w:szCs w:val="24"/>
        </w:rPr>
        <w:t>€.</w:t>
      </w:r>
    </w:p>
    <w:p w14:paraId="08A40D44" w14:textId="3C5D2EFC" w:rsidR="00D67468" w:rsidRPr="00D93FFD" w:rsidRDefault="002A779B" w:rsidP="00A92045">
      <w:pPr>
        <w:spacing w:after="0"/>
        <w:rPr>
          <w:iCs/>
          <w:sz w:val="24"/>
          <w:szCs w:val="24"/>
        </w:rPr>
      </w:pPr>
      <w:r w:rsidRPr="00D93FFD">
        <w:rPr>
          <w:iCs/>
          <w:sz w:val="24"/>
          <w:szCs w:val="24"/>
        </w:rPr>
        <w:t xml:space="preserve">Iznosom planiranim u 2025. godini  od 37.502,00 </w:t>
      </w:r>
      <w:r w:rsidR="002A0CDF" w:rsidRPr="00D93FFD">
        <w:rPr>
          <w:i/>
          <w:iCs/>
          <w:sz w:val="24"/>
          <w:szCs w:val="24"/>
        </w:rPr>
        <w:t xml:space="preserve">€ </w:t>
      </w:r>
      <w:r w:rsidRPr="00D93FFD">
        <w:rPr>
          <w:iCs/>
          <w:sz w:val="24"/>
          <w:szCs w:val="24"/>
        </w:rPr>
        <w:t xml:space="preserve"> predviđa se nabava </w:t>
      </w:r>
      <w:r w:rsidR="00DF574D" w:rsidRPr="00D93FFD">
        <w:rPr>
          <w:iCs/>
          <w:sz w:val="24"/>
          <w:szCs w:val="24"/>
        </w:rPr>
        <w:t xml:space="preserve">perilice suđa, </w:t>
      </w:r>
      <w:r w:rsidR="00773775" w:rsidRPr="00D93FFD">
        <w:rPr>
          <w:iCs/>
          <w:sz w:val="24"/>
          <w:szCs w:val="24"/>
        </w:rPr>
        <w:t>u iznosu od 1</w:t>
      </w:r>
      <w:r w:rsidR="00D83EF6" w:rsidRPr="00D93FFD">
        <w:rPr>
          <w:iCs/>
          <w:sz w:val="24"/>
          <w:szCs w:val="24"/>
        </w:rPr>
        <w:t>6</w:t>
      </w:r>
      <w:r w:rsidR="00773775" w:rsidRPr="00D93FFD">
        <w:rPr>
          <w:iCs/>
          <w:sz w:val="24"/>
          <w:szCs w:val="24"/>
        </w:rPr>
        <w:t>.</w:t>
      </w:r>
      <w:r w:rsidR="00EB64F2" w:rsidRPr="00D93FFD">
        <w:rPr>
          <w:iCs/>
          <w:sz w:val="24"/>
          <w:szCs w:val="24"/>
        </w:rPr>
        <w:t>0</w:t>
      </w:r>
      <w:r w:rsidR="00773775" w:rsidRPr="00D93FFD">
        <w:rPr>
          <w:iCs/>
          <w:sz w:val="24"/>
          <w:szCs w:val="24"/>
        </w:rPr>
        <w:t xml:space="preserve">00,00 </w:t>
      </w:r>
      <w:r w:rsidR="00773775" w:rsidRPr="00D93FFD">
        <w:rPr>
          <w:i/>
          <w:iCs/>
          <w:sz w:val="24"/>
          <w:szCs w:val="24"/>
        </w:rPr>
        <w:t xml:space="preserve">€, </w:t>
      </w:r>
      <w:r w:rsidR="00DF574D" w:rsidRPr="00D93FFD">
        <w:rPr>
          <w:iCs/>
          <w:sz w:val="24"/>
          <w:szCs w:val="24"/>
        </w:rPr>
        <w:t>nabava klima uređaja za zatvoreničke odjele</w:t>
      </w:r>
      <w:r w:rsidR="00773775" w:rsidRPr="00D93FFD">
        <w:rPr>
          <w:iCs/>
          <w:sz w:val="24"/>
          <w:szCs w:val="24"/>
        </w:rPr>
        <w:t xml:space="preserve"> u iznosu od </w:t>
      </w:r>
      <w:r w:rsidR="00D83EF6" w:rsidRPr="00D93FFD">
        <w:rPr>
          <w:iCs/>
          <w:sz w:val="24"/>
          <w:szCs w:val="24"/>
        </w:rPr>
        <w:t>9</w:t>
      </w:r>
      <w:r w:rsidR="00773775" w:rsidRPr="00D93FFD">
        <w:rPr>
          <w:iCs/>
          <w:sz w:val="24"/>
          <w:szCs w:val="24"/>
        </w:rPr>
        <w:t xml:space="preserve">.000,00 </w:t>
      </w:r>
      <w:r w:rsidR="00773775" w:rsidRPr="00D93FFD">
        <w:rPr>
          <w:i/>
          <w:iCs/>
          <w:sz w:val="24"/>
          <w:szCs w:val="24"/>
        </w:rPr>
        <w:t>€</w:t>
      </w:r>
      <w:r w:rsidR="00DC7A61" w:rsidRPr="00D93FFD">
        <w:rPr>
          <w:i/>
          <w:iCs/>
          <w:sz w:val="24"/>
          <w:szCs w:val="24"/>
        </w:rPr>
        <w:t xml:space="preserve">, </w:t>
      </w:r>
      <w:r w:rsidR="00792494" w:rsidRPr="00D93FFD">
        <w:rPr>
          <w:iCs/>
          <w:sz w:val="24"/>
          <w:szCs w:val="24"/>
        </w:rPr>
        <w:t>uređaja</w:t>
      </w:r>
      <w:r w:rsidR="00DC7A61" w:rsidRPr="00D93FFD">
        <w:rPr>
          <w:iCs/>
          <w:sz w:val="24"/>
          <w:szCs w:val="24"/>
        </w:rPr>
        <w:t xml:space="preserve"> za kuhinju</w:t>
      </w:r>
      <w:r w:rsidR="000D009B" w:rsidRPr="00D93FFD">
        <w:rPr>
          <w:iCs/>
          <w:sz w:val="24"/>
          <w:szCs w:val="24"/>
        </w:rPr>
        <w:t xml:space="preserve"> - kiper</w:t>
      </w:r>
      <w:r w:rsidR="00DC7A61" w:rsidRPr="00D93FFD">
        <w:rPr>
          <w:iCs/>
          <w:sz w:val="24"/>
          <w:szCs w:val="24"/>
        </w:rPr>
        <w:t xml:space="preserve"> u iznosu od 9.000,00</w:t>
      </w:r>
      <w:r w:rsidR="00773775" w:rsidRPr="00D93FFD">
        <w:rPr>
          <w:iCs/>
          <w:sz w:val="24"/>
          <w:szCs w:val="24"/>
        </w:rPr>
        <w:t xml:space="preserve"> </w:t>
      </w:r>
      <w:r w:rsidR="00DC7A61" w:rsidRPr="00D93FFD">
        <w:rPr>
          <w:i/>
          <w:iCs/>
          <w:sz w:val="24"/>
          <w:szCs w:val="24"/>
        </w:rPr>
        <w:t xml:space="preserve">€ </w:t>
      </w:r>
      <w:r w:rsidR="00DF574D" w:rsidRPr="00D93FFD">
        <w:rPr>
          <w:iCs/>
          <w:sz w:val="24"/>
          <w:szCs w:val="24"/>
        </w:rPr>
        <w:t xml:space="preserve"> i zamjena kuhinjskih elemenata sa sudoperom</w:t>
      </w:r>
      <w:r w:rsidRPr="00D93FFD">
        <w:rPr>
          <w:iCs/>
          <w:sz w:val="24"/>
          <w:szCs w:val="24"/>
        </w:rPr>
        <w:t xml:space="preserve"> </w:t>
      </w:r>
      <w:r w:rsidR="00773775" w:rsidRPr="00D93FFD">
        <w:rPr>
          <w:iCs/>
          <w:sz w:val="24"/>
          <w:szCs w:val="24"/>
        </w:rPr>
        <w:t xml:space="preserve">u iznosu od </w:t>
      </w:r>
      <w:r w:rsidR="00DC7A61" w:rsidRPr="00D93FFD">
        <w:rPr>
          <w:iCs/>
          <w:sz w:val="24"/>
          <w:szCs w:val="24"/>
        </w:rPr>
        <w:t>3</w:t>
      </w:r>
      <w:r w:rsidR="00EB64F2" w:rsidRPr="00D93FFD">
        <w:rPr>
          <w:iCs/>
          <w:sz w:val="24"/>
          <w:szCs w:val="24"/>
        </w:rPr>
        <w:t>.5</w:t>
      </w:r>
      <w:r w:rsidR="00773775" w:rsidRPr="00D93FFD">
        <w:rPr>
          <w:iCs/>
          <w:sz w:val="24"/>
          <w:szCs w:val="24"/>
        </w:rPr>
        <w:t xml:space="preserve">02,00 </w:t>
      </w:r>
      <w:r w:rsidR="00773775" w:rsidRPr="00D93FFD">
        <w:rPr>
          <w:i/>
          <w:iCs/>
          <w:sz w:val="24"/>
          <w:szCs w:val="24"/>
        </w:rPr>
        <w:t>€</w:t>
      </w:r>
      <w:r w:rsidR="00792494" w:rsidRPr="00D93FFD">
        <w:rPr>
          <w:iCs/>
          <w:sz w:val="24"/>
          <w:szCs w:val="24"/>
        </w:rPr>
        <w:t>.  I</w:t>
      </w:r>
      <w:r w:rsidRPr="00D93FFD">
        <w:rPr>
          <w:iCs/>
          <w:sz w:val="24"/>
          <w:szCs w:val="24"/>
        </w:rPr>
        <w:t xml:space="preserve">stim planiranim iznosom u 2026. godini </w:t>
      </w:r>
      <w:r w:rsidR="00792494" w:rsidRPr="00D93FFD">
        <w:rPr>
          <w:iCs/>
          <w:sz w:val="24"/>
          <w:szCs w:val="24"/>
        </w:rPr>
        <w:t>predviđa se</w:t>
      </w:r>
      <w:r w:rsidRPr="00D93FFD">
        <w:rPr>
          <w:iCs/>
          <w:sz w:val="24"/>
          <w:szCs w:val="24"/>
        </w:rPr>
        <w:t xml:space="preserve"> nabava</w:t>
      </w:r>
      <w:r w:rsidR="00DF574D" w:rsidRPr="00D93FFD">
        <w:rPr>
          <w:iCs/>
          <w:sz w:val="24"/>
          <w:szCs w:val="24"/>
        </w:rPr>
        <w:t xml:space="preserve"> perlice za veš</w:t>
      </w:r>
      <w:r w:rsidR="00EB64F2" w:rsidRPr="00D93FFD">
        <w:rPr>
          <w:iCs/>
          <w:sz w:val="24"/>
          <w:szCs w:val="24"/>
        </w:rPr>
        <w:t xml:space="preserve"> u iznosu od </w:t>
      </w:r>
      <w:r w:rsidR="002F0D38" w:rsidRPr="00D93FFD">
        <w:rPr>
          <w:iCs/>
          <w:sz w:val="24"/>
          <w:szCs w:val="24"/>
        </w:rPr>
        <w:t>18</w:t>
      </w:r>
      <w:r w:rsidR="00EB64F2" w:rsidRPr="00D93FFD">
        <w:rPr>
          <w:iCs/>
          <w:sz w:val="24"/>
          <w:szCs w:val="24"/>
        </w:rPr>
        <w:t xml:space="preserve">.000,00 </w:t>
      </w:r>
      <w:r w:rsidR="00EB64F2" w:rsidRPr="00D93FFD">
        <w:rPr>
          <w:i/>
          <w:iCs/>
          <w:sz w:val="24"/>
          <w:szCs w:val="24"/>
        </w:rPr>
        <w:t>€</w:t>
      </w:r>
      <w:r w:rsidR="002F0D38" w:rsidRPr="00D93FFD">
        <w:rPr>
          <w:iCs/>
          <w:sz w:val="24"/>
          <w:szCs w:val="24"/>
        </w:rPr>
        <w:t>, opremanje zatvoreničkih prostorija namještajem</w:t>
      </w:r>
      <w:r w:rsidR="004735F2" w:rsidRPr="00D93FFD">
        <w:rPr>
          <w:iCs/>
          <w:sz w:val="24"/>
          <w:szCs w:val="24"/>
        </w:rPr>
        <w:t>,</w:t>
      </w:r>
      <w:r w:rsidR="005F7B76" w:rsidRPr="00D93FFD">
        <w:rPr>
          <w:iCs/>
          <w:sz w:val="24"/>
          <w:szCs w:val="24"/>
        </w:rPr>
        <w:t xml:space="preserve"> medicinske ambulante</w:t>
      </w:r>
      <w:r w:rsidR="002F0D38" w:rsidRPr="00D93FFD">
        <w:rPr>
          <w:iCs/>
          <w:sz w:val="24"/>
          <w:szCs w:val="24"/>
        </w:rPr>
        <w:t xml:space="preserve"> i radnih prostorija službenika u iznosu od </w:t>
      </w:r>
      <w:r w:rsidR="000D009B" w:rsidRPr="00D93FFD">
        <w:rPr>
          <w:iCs/>
          <w:sz w:val="24"/>
          <w:szCs w:val="24"/>
        </w:rPr>
        <w:t>4</w:t>
      </w:r>
      <w:r w:rsidR="002F0D38" w:rsidRPr="00D93FFD">
        <w:rPr>
          <w:iCs/>
          <w:sz w:val="24"/>
          <w:szCs w:val="24"/>
        </w:rPr>
        <w:t xml:space="preserve">.502,00 </w:t>
      </w:r>
      <w:r w:rsidR="002F0D38" w:rsidRPr="00D93FFD">
        <w:rPr>
          <w:i/>
          <w:iCs/>
          <w:sz w:val="24"/>
          <w:szCs w:val="24"/>
        </w:rPr>
        <w:t>€</w:t>
      </w:r>
      <w:r w:rsidR="00F15EFB" w:rsidRPr="00D93FFD">
        <w:rPr>
          <w:i/>
          <w:iCs/>
          <w:sz w:val="24"/>
          <w:szCs w:val="24"/>
        </w:rPr>
        <w:t>,</w:t>
      </w:r>
      <w:r w:rsidR="002F0D38" w:rsidRPr="00D93FFD">
        <w:rPr>
          <w:iCs/>
          <w:sz w:val="24"/>
          <w:szCs w:val="24"/>
        </w:rPr>
        <w:t xml:space="preserve"> </w:t>
      </w:r>
      <w:r w:rsidR="00F15EFB" w:rsidRPr="00D93FFD">
        <w:rPr>
          <w:iCs/>
          <w:sz w:val="24"/>
          <w:szCs w:val="24"/>
        </w:rPr>
        <w:t xml:space="preserve"> </w:t>
      </w:r>
      <w:r w:rsidR="00D83EF6" w:rsidRPr="00D93FFD">
        <w:rPr>
          <w:iCs/>
          <w:sz w:val="24"/>
          <w:szCs w:val="24"/>
        </w:rPr>
        <w:t xml:space="preserve">nabava hladnjaka i zamrzivača u iznosu od </w:t>
      </w:r>
      <w:r w:rsidR="00243552" w:rsidRPr="00D93FFD">
        <w:rPr>
          <w:iCs/>
          <w:sz w:val="24"/>
          <w:szCs w:val="24"/>
        </w:rPr>
        <w:t>5</w:t>
      </w:r>
      <w:r w:rsidR="00D83EF6" w:rsidRPr="00D93FFD">
        <w:rPr>
          <w:iCs/>
          <w:sz w:val="24"/>
          <w:szCs w:val="24"/>
        </w:rPr>
        <w:t xml:space="preserve">.000,00 </w:t>
      </w:r>
      <w:r w:rsidR="00D83EF6" w:rsidRPr="00D93FFD">
        <w:rPr>
          <w:i/>
          <w:iCs/>
          <w:sz w:val="24"/>
          <w:szCs w:val="24"/>
        </w:rPr>
        <w:t>€</w:t>
      </w:r>
      <w:r w:rsidR="00D83EF6" w:rsidRPr="00D93FFD">
        <w:rPr>
          <w:iCs/>
          <w:sz w:val="24"/>
          <w:szCs w:val="24"/>
        </w:rPr>
        <w:t>,</w:t>
      </w:r>
      <w:r w:rsidR="004735F2" w:rsidRPr="00D93FFD">
        <w:rPr>
          <w:iCs/>
          <w:sz w:val="24"/>
          <w:szCs w:val="24"/>
        </w:rPr>
        <w:t xml:space="preserve"> uređaj</w:t>
      </w:r>
      <w:r w:rsidR="00792494" w:rsidRPr="00D93FFD">
        <w:rPr>
          <w:iCs/>
          <w:sz w:val="24"/>
          <w:szCs w:val="24"/>
        </w:rPr>
        <w:t>a</w:t>
      </w:r>
      <w:r w:rsidR="004735F2" w:rsidRPr="00D93FFD">
        <w:rPr>
          <w:iCs/>
          <w:sz w:val="24"/>
          <w:szCs w:val="24"/>
        </w:rPr>
        <w:t xml:space="preserve"> za guljenje krumpira u iznosu od </w:t>
      </w:r>
      <w:r w:rsidR="00243552" w:rsidRPr="00D93FFD">
        <w:rPr>
          <w:iCs/>
          <w:sz w:val="24"/>
          <w:szCs w:val="24"/>
        </w:rPr>
        <w:t>5</w:t>
      </w:r>
      <w:r w:rsidR="004735F2" w:rsidRPr="00D93FFD">
        <w:rPr>
          <w:iCs/>
          <w:sz w:val="24"/>
          <w:szCs w:val="24"/>
        </w:rPr>
        <w:t xml:space="preserve">.000,00 </w:t>
      </w:r>
      <w:r w:rsidR="004735F2" w:rsidRPr="00D93FFD">
        <w:rPr>
          <w:i/>
          <w:iCs/>
          <w:sz w:val="24"/>
          <w:szCs w:val="24"/>
        </w:rPr>
        <w:t xml:space="preserve">€, </w:t>
      </w:r>
      <w:r w:rsidR="00792494" w:rsidRPr="00D93FFD">
        <w:rPr>
          <w:iCs/>
          <w:sz w:val="24"/>
          <w:szCs w:val="24"/>
        </w:rPr>
        <w:t xml:space="preserve">profesionalnog </w:t>
      </w:r>
      <w:r w:rsidR="004735F2" w:rsidRPr="00D93FFD">
        <w:rPr>
          <w:iCs/>
          <w:sz w:val="24"/>
          <w:szCs w:val="24"/>
        </w:rPr>
        <w:t>mikser</w:t>
      </w:r>
      <w:r w:rsidR="00D93FFD">
        <w:rPr>
          <w:iCs/>
          <w:sz w:val="24"/>
          <w:szCs w:val="24"/>
        </w:rPr>
        <w:t>a</w:t>
      </w:r>
      <w:r w:rsidR="004735F2" w:rsidRPr="00D93FFD">
        <w:rPr>
          <w:iCs/>
          <w:sz w:val="24"/>
          <w:szCs w:val="24"/>
        </w:rPr>
        <w:t xml:space="preserve"> u iznosu od 1.900,00</w:t>
      </w:r>
      <w:r w:rsidR="00243552" w:rsidRPr="00D93FFD">
        <w:rPr>
          <w:iCs/>
          <w:sz w:val="24"/>
          <w:szCs w:val="24"/>
        </w:rPr>
        <w:t xml:space="preserve"> </w:t>
      </w:r>
      <w:r w:rsidR="00792494" w:rsidRPr="00D93FFD">
        <w:rPr>
          <w:i/>
          <w:iCs/>
          <w:sz w:val="24"/>
          <w:szCs w:val="24"/>
        </w:rPr>
        <w:t xml:space="preserve">€ </w:t>
      </w:r>
      <w:r w:rsidR="002A0CDF" w:rsidRPr="00D93FFD">
        <w:rPr>
          <w:i/>
          <w:iCs/>
          <w:sz w:val="24"/>
          <w:szCs w:val="24"/>
        </w:rPr>
        <w:t xml:space="preserve"> </w:t>
      </w:r>
      <w:r w:rsidR="002A0CDF" w:rsidRPr="00D93FFD">
        <w:rPr>
          <w:iCs/>
          <w:sz w:val="24"/>
          <w:szCs w:val="24"/>
        </w:rPr>
        <w:t xml:space="preserve"> i </w:t>
      </w:r>
      <w:r w:rsidR="00243552" w:rsidRPr="00D93FFD">
        <w:rPr>
          <w:iCs/>
          <w:sz w:val="24"/>
          <w:szCs w:val="24"/>
        </w:rPr>
        <w:t>uređaj</w:t>
      </w:r>
      <w:r w:rsidR="00792494" w:rsidRPr="00D93FFD">
        <w:rPr>
          <w:iCs/>
          <w:sz w:val="24"/>
          <w:szCs w:val="24"/>
        </w:rPr>
        <w:t>a</w:t>
      </w:r>
      <w:r w:rsidR="00243552" w:rsidRPr="00D93FFD">
        <w:rPr>
          <w:iCs/>
          <w:sz w:val="24"/>
          <w:szCs w:val="24"/>
        </w:rPr>
        <w:t xml:space="preserve"> za mljevenje mesa u iznosu od 3.100,00 </w:t>
      </w:r>
      <w:r w:rsidR="00243552" w:rsidRPr="00D93FFD">
        <w:rPr>
          <w:i/>
          <w:iCs/>
          <w:sz w:val="24"/>
          <w:szCs w:val="24"/>
        </w:rPr>
        <w:t>€.</w:t>
      </w:r>
    </w:p>
    <w:p w14:paraId="29CAB929" w14:textId="77777777" w:rsidR="00702E47" w:rsidRPr="00D93FFD" w:rsidRDefault="00702E47" w:rsidP="00A92045">
      <w:pPr>
        <w:spacing w:after="0"/>
        <w:rPr>
          <w:sz w:val="24"/>
          <w:szCs w:val="24"/>
          <w:lang w:val="hr-HR"/>
        </w:rPr>
      </w:pPr>
    </w:p>
    <w:p w14:paraId="0FA0FEF1" w14:textId="157A9654" w:rsidR="003E76DC" w:rsidRDefault="002F26AE" w:rsidP="003E1DDA">
      <w:pPr>
        <w:spacing w:after="0"/>
        <w:rPr>
          <w:szCs w:val="22"/>
        </w:rPr>
      </w:pPr>
      <w:r w:rsidRPr="00C41928">
        <w:rPr>
          <w:b/>
          <w:szCs w:val="22"/>
          <w:lang w:val="hr-HR"/>
        </w:rPr>
        <w:t xml:space="preserve">45 </w:t>
      </w:r>
      <w:r w:rsidRPr="00C41928">
        <w:rPr>
          <w:b/>
          <w:szCs w:val="22"/>
        </w:rPr>
        <w:t>Rashodi za dodatna ulaganja na nefinancijskoj imovini</w:t>
      </w:r>
      <w:r w:rsidR="003666A2" w:rsidRPr="00C41928">
        <w:rPr>
          <w:szCs w:val="22"/>
        </w:rPr>
        <w:t xml:space="preserve"> </w:t>
      </w:r>
    </w:p>
    <w:p w14:paraId="1AE5DCAD" w14:textId="77777777" w:rsidR="003E1DDA" w:rsidRPr="00D93FFD" w:rsidRDefault="003E1DDA" w:rsidP="003E1DDA">
      <w:pPr>
        <w:spacing w:after="0"/>
        <w:rPr>
          <w:sz w:val="24"/>
          <w:szCs w:val="24"/>
        </w:rPr>
      </w:pPr>
    </w:p>
    <w:p w14:paraId="5F1BE96F" w14:textId="32A41166" w:rsidR="003E76DC" w:rsidRPr="00D93FFD" w:rsidRDefault="003E1DDA" w:rsidP="00D27D48">
      <w:pPr>
        <w:spacing w:after="0"/>
        <w:rPr>
          <w:iCs/>
          <w:sz w:val="24"/>
          <w:szCs w:val="24"/>
        </w:rPr>
      </w:pPr>
      <w:r w:rsidRPr="00D93FFD">
        <w:rPr>
          <w:sz w:val="24"/>
          <w:szCs w:val="24"/>
        </w:rPr>
        <w:t>Planirani</w:t>
      </w:r>
      <w:r w:rsidR="002A0CDF" w:rsidRPr="00D93FFD">
        <w:rPr>
          <w:sz w:val="24"/>
          <w:szCs w:val="24"/>
        </w:rPr>
        <w:t xml:space="preserve">m </w:t>
      </w:r>
      <w:r w:rsidRPr="00D93FFD">
        <w:rPr>
          <w:sz w:val="24"/>
          <w:szCs w:val="24"/>
        </w:rPr>
        <w:t>iznos</w:t>
      </w:r>
      <w:r w:rsidR="002A0CDF" w:rsidRPr="00D93FFD">
        <w:rPr>
          <w:sz w:val="24"/>
          <w:szCs w:val="24"/>
        </w:rPr>
        <w:t>om</w:t>
      </w:r>
      <w:r w:rsidRPr="00D93FFD">
        <w:rPr>
          <w:sz w:val="24"/>
          <w:szCs w:val="24"/>
        </w:rPr>
        <w:t xml:space="preserve"> od 110.000,00 </w:t>
      </w:r>
      <w:r w:rsidRPr="00D93FFD">
        <w:rPr>
          <w:i/>
          <w:iCs/>
          <w:sz w:val="24"/>
          <w:szCs w:val="24"/>
        </w:rPr>
        <w:t>€</w:t>
      </w:r>
      <w:r w:rsidRPr="00D93FFD">
        <w:rPr>
          <w:iCs/>
          <w:sz w:val="24"/>
          <w:szCs w:val="24"/>
        </w:rPr>
        <w:t xml:space="preserve"> u 2024. godini predviđa se </w:t>
      </w:r>
      <w:r w:rsidR="002A0CDF" w:rsidRPr="00D93FFD">
        <w:rPr>
          <w:iCs/>
          <w:sz w:val="24"/>
          <w:szCs w:val="24"/>
        </w:rPr>
        <w:t>financirati</w:t>
      </w:r>
      <w:r w:rsidRPr="00D93FFD">
        <w:rPr>
          <w:iCs/>
          <w:sz w:val="24"/>
          <w:szCs w:val="24"/>
        </w:rPr>
        <w:t xml:space="preserve"> projektiranje, rekonstrukcija i dogradnja sustava tople potrošne vode.</w:t>
      </w:r>
      <w:r w:rsidR="00DF574D" w:rsidRPr="00D93FFD">
        <w:rPr>
          <w:iCs/>
          <w:sz w:val="24"/>
          <w:szCs w:val="24"/>
        </w:rPr>
        <w:t xml:space="preserve"> Tijekom 2025. godine iz planiranih sredstava od 6</w:t>
      </w:r>
      <w:r w:rsidR="003B2F16" w:rsidRPr="00D93FFD">
        <w:rPr>
          <w:iCs/>
          <w:sz w:val="24"/>
          <w:szCs w:val="24"/>
        </w:rPr>
        <w:t>7</w:t>
      </w:r>
      <w:r w:rsidR="00DF574D" w:rsidRPr="00D93FFD">
        <w:rPr>
          <w:iCs/>
          <w:sz w:val="24"/>
          <w:szCs w:val="24"/>
        </w:rPr>
        <w:t>.21</w:t>
      </w:r>
      <w:r w:rsidR="003B2F16" w:rsidRPr="00D93FFD">
        <w:rPr>
          <w:iCs/>
          <w:sz w:val="24"/>
          <w:szCs w:val="24"/>
        </w:rPr>
        <w:t>6</w:t>
      </w:r>
      <w:r w:rsidR="00DF574D" w:rsidRPr="00D93FFD">
        <w:rPr>
          <w:iCs/>
          <w:sz w:val="24"/>
          <w:szCs w:val="24"/>
        </w:rPr>
        <w:t xml:space="preserve">,00 </w:t>
      </w:r>
      <w:r w:rsidR="00DF574D" w:rsidRPr="00D93FFD">
        <w:rPr>
          <w:i/>
          <w:iCs/>
          <w:sz w:val="24"/>
          <w:szCs w:val="24"/>
        </w:rPr>
        <w:t>€</w:t>
      </w:r>
      <w:r w:rsidR="00DF574D" w:rsidRPr="00D93FFD">
        <w:rPr>
          <w:iCs/>
          <w:sz w:val="24"/>
          <w:szCs w:val="24"/>
        </w:rPr>
        <w:t xml:space="preserve"> </w:t>
      </w:r>
      <w:r w:rsidR="002A0CDF" w:rsidRPr="00D93FFD">
        <w:rPr>
          <w:iCs/>
          <w:sz w:val="24"/>
          <w:szCs w:val="24"/>
        </w:rPr>
        <w:t>predviđa</w:t>
      </w:r>
      <w:r w:rsidR="00DF574D" w:rsidRPr="00D93FFD">
        <w:rPr>
          <w:iCs/>
          <w:sz w:val="24"/>
          <w:szCs w:val="24"/>
        </w:rPr>
        <w:t xml:space="preserve"> se rekonstrukcija šetališta s uređenjem dvorišta</w:t>
      </w:r>
      <w:r w:rsidR="0077612B" w:rsidRPr="00D93FFD">
        <w:rPr>
          <w:iCs/>
          <w:sz w:val="24"/>
          <w:szCs w:val="24"/>
        </w:rPr>
        <w:t xml:space="preserve"> </w:t>
      </w:r>
      <w:r w:rsidR="002A0CDF" w:rsidRPr="00D93FFD">
        <w:rPr>
          <w:iCs/>
          <w:sz w:val="24"/>
          <w:szCs w:val="24"/>
        </w:rPr>
        <w:t>i</w:t>
      </w:r>
      <w:r w:rsidR="0077612B" w:rsidRPr="00D93FFD">
        <w:rPr>
          <w:iCs/>
          <w:sz w:val="24"/>
          <w:szCs w:val="24"/>
        </w:rPr>
        <w:t xml:space="preserve"> </w:t>
      </w:r>
      <w:r w:rsidR="00DF574D" w:rsidRPr="00D93FFD">
        <w:rPr>
          <w:iCs/>
          <w:sz w:val="24"/>
          <w:szCs w:val="24"/>
        </w:rPr>
        <w:t>izgradnj</w:t>
      </w:r>
      <w:r w:rsidR="0077612B" w:rsidRPr="00D93FFD">
        <w:rPr>
          <w:iCs/>
          <w:sz w:val="24"/>
          <w:szCs w:val="24"/>
        </w:rPr>
        <w:t>om</w:t>
      </w:r>
      <w:r w:rsidR="00DF574D" w:rsidRPr="00D93FFD">
        <w:rPr>
          <w:iCs/>
          <w:sz w:val="24"/>
          <w:szCs w:val="24"/>
        </w:rPr>
        <w:t xml:space="preserve"> pristupa za invalidne osobe, dok se tijekom 2026. godine iz planiranih sredstava u iznosu od 67.000,00 </w:t>
      </w:r>
      <w:r w:rsidR="00DF574D" w:rsidRPr="00D93FFD">
        <w:rPr>
          <w:i/>
          <w:iCs/>
          <w:sz w:val="24"/>
          <w:szCs w:val="24"/>
        </w:rPr>
        <w:t>€</w:t>
      </w:r>
      <w:r w:rsidR="00DF574D" w:rsidRPr="00D93FFD">
        <w:rPr>
          <w:iCs/>
          <w:sz w:val="24"/>
          <w:szCs w:val="24"/>
        </w:rPr>
        <w:t xml:space="preserve"> predviđ</w:t>
      </w:r>
      <w:r w:rsidR="0044510F" w:rsidRPr="00D93FFD">
        <w:rPr>
          <w:iCs/>
          <w:sz w:val="24"/>
          <w:szCs w:val="24"/>
        </w:rPr>
        <w:t>a</w:t>
      </w:r>
      <w:r w:rsidR="00DF574D" w:rsidRPr="00D93FFD">
        <w:rPr>
          <w:iCs/>
          <w:sz w:val="24"/>
          <w:szCs w:val="24"/>
        </w:rPr>
        <w:t xml:space="preserve"> rekonstrukcija krovišta na zatvoreničkom odjelu.</w:t>
      </w:r>
    </w:p>
    <w:p w14:paraId="1D9C45DB" w14:textId="77777777" w:rsidR="00F91DEF" w:rsidRPr="00D93FFD" w:rsidRDefault="00F91DEF" w:rsidP="00D27D48">
      <w:pPr>
        <w:spacing w:after="0"/>
        <w:rPr>
          <w:sz w:val="24"/>
          <w:szCs w:val="24"/>
          <w:lang w:val="hr-HR"/>
        </w:rPr>
      </w:pPr>
    </w:p>
    <w:p w14:paraId="7CB41449" w14:textId="77777777" w:rsidR="006B30D5" w:rsidRPr="00D93FFD" w:rsidRDefault="006B30D5" w:rsidP="006F1566">
      <w:pPr>
        <w:rPr>
          <w:b/>
          <w:bCs/>
          <w:sz w:val="24"/>
          <w:szCs w:val="24"/>
        </w:rPr>
      </w:pPr>
    </w:p>
    <w:p w14:paraId="7CA75A74" w14:textId="3C9008F3" w:rsidR="006F1566" w:rsidRPr="00F0265C" w:rsidRDefault="006F1566" w:rsidP="006F1566">
      <w:pPr>
        <w:rPr>
          <w:b/>
          <w:bCs/>
          <w:sz w:val="24"/>
          <w:szCs w:val="24"/>
        </w:rPr>
      </w:pPr>
      <w:r w:rsidRPr="00F0265C">
        <w:rPr>
          <w:b/>
          <w:bCs/>
          <w:sz w:val="24"/>
          <w:szCs w:val="24"/>
        </w:rPr>
        <w:t>A630113 IZVRŠAVANJE KAZNE ZATVORA, MJERE PRITVORA I ODGOJNE MJERE (IZ EVIDENCIJSKIH PRIHODA)</w:t>
      </w:r>
    </w:p>
    <w:p w14:paraId="7685F828" w14:textId="0C8E0654" w:rsidR="006F1566" w:rsidRPr="00C41928" w:rsidRDefault="006F1566" w:rsidP="006F1566">
      <w:pPr>
        <w:rPr>
          <w:szCs w:val="22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  <w:gridCol w:w="1056"/>
      </w:tblGrid>
      <w:tr w:rsidR="006F1566" w:rsidRPr="00C41928" w14:paraId="3F75000B" w14:textId="77777777" w:rsidTr="006F1566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7E3320AA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2024.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0A791AF0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2025.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630B225B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2026.</w:t>
            </w:r>
          </w:p>
        </w:tc>
        <w:tc>
          <w:tcPr>
            <w:tcW w:w="1056" w:type="dxa"/>
            <w:shd w:val="clear" w:color="auto" w:fill="B5C0D8"/>
            <w:vAlign w:val="top"/>
          </w:tcPr>
          <w:p w14:paraId="3D31ED9A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Indeks 2024/2023</w:t>
            </w:r>
          </w:p>
        </w:tc>
      </w:tr>
      <w:tr w:rsidR="006F1566" w:rsidRPr="00C41928" w14:paraId="3695D708" w14:textId="77777777" w:rsidTr="006F1566">
        <w:trPr>
          <w:jc w:val="center"/>
        </w:trPr>
        <w:tc>
          <w:tcPr>
            <w:tcW w:w="1460" w:type="dxa"/>
            <w:vAlign w:val="top"/>
          </w:tcPr>
          <w:p w14:paraId="068F6A56" w14:textId="68C430F3" w:rsidR="006F1566" w:rsidRPr="00C41928" w:rsidRDefault="006F1566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34C10DBB" w:rsidR="006F1566" w:rsidRPr="00C41928" w:rsidRDefault="00336004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17.329,98</w:t>
            </w:r>
          </w:p>
        </w:tc>
        <w:tc>
          <w:tcPr>
            <w:tcW w:w="1511" w:type="dxa"/>
            <w:vAlign w:val="top"/>
          </w:tcPr>
          <w:p w14:paraId="5B9A3347" w14:textId="2CBA99F1" w:rsidR="006F1566" w:rsidRPr="00C41928" w:rsidRDefault="00A0014F" w:rsidP="000343E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15.927,00</w:t>
            </w:r>
          </w:p>
        </w:tc>
        <w:tc>
          <w:tcPr>
            <w:tcW w:w="1545" w:type="dxa"/>
            <w:vAlign w:val="top"/>
          </w:tcPr>
          <w:p w14:paraId="45AE0096" w14:textId="416A786F" w:rsidR="006F1566" w:rsidRPr="00C41928" w:rsidRDefault="0017148E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18.500,00</w:t>
            </w:r>
          </w:p>
        </w:tc>
        <w:tc>
          <w:tcPr>
            <w:tcW w:w="1545" w:type="dxa"/>
            <w:vAlign w:val="top"/>
          </w:tcPr>
          <w:p w14:paraId="3F595382" w14:textId="2C9B1A62" w:rsidR="006F1566" w:rsidRPr="00C41928" w:rsidRDefault="0017148E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19.500,00</w:t>
            </w:r>
          </w:p>
        </w:tc>
        <w:tc>
          <w:tcPr>
            <w:tcW w:w="1545" w:type="dxa"/>
            <w:vAlign w:val="top"/>
          </w:tcPr>
          <w:p w14:paraId="60E573F9" w14:textId="554FF632" w:rsidR="006F1566" w:rsidRPr="00C41928" w:rsidRDefault="0017148E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20.500,00</w:t>
            </w:r>
          </w:p>
        </w:tc>
        <w:tc>
          <w:tcPr>
            <w:tcW w:w="1056" w:type="dxa"/>
            <w:vAlign w:val="top"/>
          </w:tcPr>
          <w:p w14:paraId="5D9EF7D0" w14:textId="5EAD56C5" w:rsidR="006F1566" w:rsidRPr="00C41928" w:rsidRDefault="00DD0DA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161550</w:t>
            </w:r>
          </w:p>
        </w:tc>
      </w:tr>
    </w:tbl>
    <w:p w14:paraId="64A60733" w14:textId="77777777" w:rsidR="006F1566" w:rsidRPr="00C41928" w:rsidRDefault="006F1566" w:rsidP="006F1566">
      <w:pPr>
        <w:rPr>
          <w:szCs w:val="22"/>
        </w:rPr>
      </w:pPr>
    </w:p>
    <w:p w14:paraId="0FAA3FD5" w14:textId="2537E2D0" w:rsidR="006B30D5" w:rsidRPr="00E73403" w:rsidRDefault="006B30D5" w:rsidP="006F1566">
      <w:pPr>
        <w:rPr>
          <w:iCs/>
          <w:szCs w:val="22"/>
        </w:rPr>
      </w:pPr>
      <w:r>
        <w:rPr>
          <w:szCs w:val="22"/>
        </w:rPr>
        <w:t>Izvor 31</w:t>
      </w:r>
      <w:r w:rsidR="00E73403" w:rsidRPr="00E73403">
        <w:rPr>
          <w:iCs/>
          <w:szCs w:val="22"/>
        </w:rPr>
        <w:t xml:space="preserve"> </w:t>
      </w:r>
    </w:p>
    <w:p w14:paraId="4C596C3C" w14:textId="098E78B8" w:rsidR="00E73403" w:rsidRPr="000E734F" w:rsidRDefault="008F7B70" w:rsidP="00E73403">
      <w:pPr>
        <w:rPr>
          <w:sz w:val="24"/>
          <w:szCs w:val="24"/>
        </w:rPr>
      </w:pPr>
      <w:r w:rsidRPr="000E734F">
        <w:rPr>
          <w:iCs/>
          <w:sz w:val="24"/>
          <w:szCs w:val="24"/>
        </w:rPr>
        <w:t xml:space="preserve">Planirana sredstva za 2024. </w:t>
      </w:r>
      <w:r w:rsidR="00726272" w:rsidRPr="000E734F">
        <w:rPr>
          <w:iCs/>
          <w:sz w:val="24"/>
          <w:szCs w:val="24"/>
        </w:rPr>
        <w:t>g</w:t>
      </w:r>
      <w:r w:rsidRPr="000E734F">
        <w:rPr>
          <w:iCs/>
          <w:sz w:val="24"/>
          <w:szCs w:val="24"/>
        </w:rPr>
        <w:t>odinu</w:t>
      </w:r>
      <w:r w:rsidR="00726272" w:rsidRPr="000E734F">
        <w:rPr>
          <w:iCs/>
          <w:sz w:val="24"/>
          <w:szCs w:val="24"/>
        </w:rPr>
        <w:t xml:space="preserve"> iz izvora 31 – vlastiti prihodi i</w:t>
      </w:r>
      <w:r w:rsidR="006B30D5" w:rsidRPr="000E734F">
        <w:rPr>
          <w:iCs/>
          <w:sz w:val="24"/>
          <w:szCs w:val="24"/>
        </w:rPr>
        <w:t xml:space="preserve">znose </w:t>
      </w:r>
      <w:r w:rsidR="00E73403" w:rsidRPr="000E734F">
        <w:rPr>
          <w:iCs/>
          <w:sz w:val="24"/>
          <w:szCs w:val="24"/>
        </w:rPr>
        <w:t>18.500,00</w:t>
      </w:r>
      <w:r w:rsidR="006B30D5" w:rsidRPr="000E734F">
        <w:rPr>
          <w:iCs/>
          <w:sz w:val="24"/>
          <w:szCs w:val="24"/>
        </w:rPr>
        <w:t xml:space="preserve"> €</w:t>
      </w:r>
      <w:r w:rsidR="00726272" w:rsidRPr="000E734F">
        <w:rPr>
          <w:iCs/>
          <w:sz w:val="24"/>
          <w:szCs w:val="24"/>
        </w:rPr>
        <w:t xml:space="preserve">  </w:t>
      </w:r>
      <w:r w:rsidR="006B30D5" w:rsidRPr="000E734F">
        <w:rPr>
          <w:iCs/>
          <w:sz w:val="24"/>
          <w:szCs w:val="24"/>
        </w:rPr>
        <w:t xml:space="preserve"> i </w:t>
      </w:r>
      <w:r w:rsidRPr="000E734F">
        <w:rPr>
          <w:iCs/>
          <w:sz w:val="24"/>
          <w:szCs w:val="24"/>
        </w:rPr>
        <w:t>namijenjena su za</w:t>
      </w:r>
      <w:r w:rsidR="00E73403" w:rsidRPr="000E734F">
        <w:rPr>
          <w:iCs/>
          <w:sz w:val="24"/>
          <w:szCs w:val="24"/>
        </w:rPr>
        <w:t xml:space="preserve"> pokriće</w:t>
      </w:r>
      <w:r w:rsidRPr="000E734F">
        <w:rPr>
          <w:iCs/>
          <w:sz w:val="24"/>
          <w:szCs w:val="24"/>
        </w:rPr>
        <w:t xml:space="preserve"> </w:t>
      </w:r>
      <w:r w:rsidR="00E73403" w:rsidRPr="000E734F">
        <w:rPr>
          <w:sz w:val="24"/>
          <w:szCs w:val="24"/>
        </w:rPr>
        <w:t>rashoda nastalih obavljanjem poslova temeljem kojih su i ostvareni u okviru vlastite djelatnosti, stvarnih troškova, te za  poboljšanje uvjeta život i rada zatvorenika i za podmirivanje ostalih izdataka zatvora.</w:t>
      </w:r>
      <w:r w:rsidR="00051ABD" w:rsidRPr="000E734F">
        <w:rPr>
          <w:sz w:val="24"/>
          <w:szCs w:val="24"/>
        </w:rPr>
        <w:t xml:space="preserve"> Tako će se planiranim iznosom od 4.000,00 </w:t>
      </w:r>
      <w:r w:rsidR="00051ABD" w:rsidRPr="000E734F">
        <w:rPr>
          <w:i/>
          <w:iCs/>
          <w:sz w:val="24"/>
          <w:szCs w:val="24"/>
        </w:rPr>
        <w:t xml:space="preserve">€ </w:t>
      </w:r>
      <w:r w:rsidR="00051ABD" w:rsidRPr="000E734F">
        <w:rPr>
          <w:iCs/>
          <w:sz w:val="24"/>
          <w:szCs w:val="24"/>
        </w:rPr>
        <w:t xml:space="preserve">podmiriti troškovi za nabavu namirnica potrebnih za prehranu zaposlenika, iznosom od 4.000,00 </w:t>
      </w:r>
      <w:r w:rsidR="00051ABD" w:rsidRPr="000E734F">
        <w:rPr>
          <w:i/>
          <w:iCs/>
          <w:sz w:val="24"/>
          <w:szCs w:val="24"/>
        </w:rPr>
        <w:t>€</w:t>
      </w:r>
      <w:r w:rsidR="00051ABD" w:rsidRPr="000E734F">
        <w:rPr>
          <w:iCs/>
          <w:sz w:val="24"/>
          <w:szCs w:val="24"/>
        </w:rPr>
        <w:t xml:space="preserve"> podmiriti troškovi ostalih  materijalnih rashoda kojima će se poboljšati boravak osoba na izdržavanju kazne zatvora, dok će</w:t>
      </w:r>
      <w:r w:rsidR="00652CA6" w:rsidRPr="000E734F">
        <w:rPr>
          <w:iCs/>
          <w:sz w:val="24"/>
          <w:szCs w:val="24"/>
        </w:rPr>
        <w:t xml:space="preserve"> </w:t>
      </w:r>
      <w:r w:rsidR="00051ABD" w:rsidRPr="000E734F">
        <w:rPr>
          <w:iCs/>
          <w:sz w:val="24"/>
          <w:szCs w:val="24"/>
        </w:rPr>
        <w:t xml:space="preserve">se iz  preostalog iznosa od 10.500,00 </w:t>
      </w:r>
      <w:r w:rsidR="00051ABD" w:rsidRPr="000E734F">
        <w:rPr>
          <w:i/>
          <w:iCs/>
          <w:sz w:val="24"/>
          <w:szCs w:val="24"/>
        </w:rPr>
        <w:t xml:space="preserve">€ </w:t>
      </w:r>
      <w:r w:rsidR="00051ABD" w:rsidRPr="000E734F">
        <w:rPr>
          <w:iCs/>
          <w:sz w:val="24"/>
          <w:szCs w:val="24"/>
        </w:rPr>
        <w:t>financirati naknade za rad zatvorenika</w:t>
      </w:r>
      <w:r w:rsidR="00183C2B" w:rsidRPr="000E734F">
        <w:rPr>
          <w:iCs/>
          <w:sz w:val="24"/>
          <w:szCs w:val="24"/>
        </w:rPr>
        <w:t xml:space="preserve">  koje će biti obračunate temeljem obavljenih</w:t>
      </w:r>
      <w:r w:rsidR="00183C2B" w:rsidRPr="000E734F">
        <w:rPr>
          <w:sz w:val="24"/>
          <w:szCs w:val="24"/>
        </w:rPr>
        <w:t xml:space="preserve"> usluga fizičkog rada zatvorenika – ugovor s drug</w:t>
      </w:r>
      <w:r w:rsidR="00222788">
        <w:rPr>
          <w:sz w:val="24"/>
          <w:szCs w:val="24"/>
        </w:rPr>
        <w:t>im poslodavcem.</w:t>
      </w:r>
    </w:p>
    <w:p w14:paraId="118DE363" w14:textId="1C61E24C" w:rsidR="00652CA6" w:rsidRPr="000E734F" w:rsidRDefault="00652CA6" w:rsidP="00E73403">
      <w:pPr>
        <w:rPr>
          <w:iCs/>
          <w:sz w:val="24"/>
          <w:szCs w:val="24"/>
        </w:rPr>
      </w:pPr>
      <w:r w:rsidRPr="000E734F">
        <w:rPr>
          <w:sz w:val="24"/>
          <w:szCs w:val="24"/>
        </w:rPr>
        <w:t xml:space="preserve">U 2025. godini ovi prihodi planirani su nešto većem iznosu u odnosu na 2024. godinu, te iznose 19.500,00 </w:t>
      </w:r>
      <w:r w:rsidRPr="000E734F">
        <w:rPr>
          <w:i/>
          <w:iCs/>
          <w:sz w:val="24"/>
          <w:szCs w:val="24"/>
        </w:rPr>
        <w:t>€.</w:t>
      </w:r>
      <w:r w:rsidR="005371E2" w:rsidRPr="000E734F">
        <w:rPr>
          <w:i/>
          <w:iCs/>
          <w:sz w:val="24"/>
          <w:szCs w:val="24"/>
        </w:rPr>
        <w:t xml:space="preserve"> </w:t>
      </w:r>
      <w:r w:rsidR="005371E2" w:rsidRPr="000E734F">
        <w:rPr>
          <w:iCs/>
          <w:sz w:val="24"/>
          <w:szCs w:val="24"/>
        </w:rPr>
        <w:t>Troškovi namirnica za prehranu zaposlenika i ostali materijalni rashodi planirani su u istim iznosima kao i za 2024. godinu zbog očekivane iste ili manje razine aktivnosti zbog koji ti troškovi nastaju.</w:t>
      </w:r>
      <w:r w:rsidR="004C61CF" w:rsidRPr="000E734F">
        <w:rPr>
          <w:iCs/>
          <w:sz w:val="24"/>
          <w:szCs w:val="24"/>
        </w:rPr>
        <w:t xml:space="preserve"> Više su planirani rashodi naknada za rad zatvorenika</w:t>
      </w:r>
      <w:r w:rsidR="007C4BD2" w:rsidRPr="000E734F">
        <w:rPr>
          <w:iCs/>
          <w:sz w:val="24"/>
          <w:szCs w:val="24"/>
        </w:rPr>
        <w:t xml:space="preserve"> s osnove pružanja usluga fizčkog rada u iznosu od 11.500,00 </w:t>
      </w:r>
      <w:r w:rsidR="007C4BD2" w:rsidRPr="000E734F">
        <w:rPr>
          <w:i/>
          <w:iCs/>
          <w:sz w:val="24"/>
          <w:szCs w:val="24"/>
        </w:rPr>
        <w:t xml:space="preserve">€ </w:t>
      </w:r>
      <w:r w:rsidR="007C4BD2" w:rsidRPr="000E734F">
        <w:rPr>
          <w:iCs/>
          <w:sz w:val="24"/>
          <w:szCs w:val="24"/>
        </w:rPr>
        <w:t xml:space="preserve">zbog pretpostavke rasta </w:t>
      </w:r>
      <w:r w:rsidR="00056BC0" w:rsidRPr="000E734F">
        <w:rPr>
          <w:iCs/>
          <w:sz w:val="24"/>
          <w:szCs w:val="24"/>
        </w:rPr>
        <w:t xml:space="preserve">aktivnosti </w:t>
      </w:r>
      <w:r w:rsidR="007C4BD2" w:rsidRPr="000E734F">
        <w:rPr>
          <w:iCs/>
          <w:sz w:val="24"/>
          <w:szCs w:val="24"/>
        </w:rPr>
        <w:t>radnoga angažiranja</w:t>
      </w:r>
      <w:r w:rsidR="006C243F" w:rsidRPr="000E734F">
        <w:rPr>
          <w:iCs/>
          <w:sz w:val="24"/>
          <w:szCs w:val="24"/>
        </w:rPr>
        <w:t xml:space="preserve"> zatvorenika</w:t>
      </w:r>
      <w:r w:rsidR="007C4BD2" w:rsidRPr="000E734F">
        <w:rPr>
          <w:iCs/>
          <w:sz w:val="24"/>
          <w:szCs w:val="24"/>
        </w:rPr>
        <w:t xml:space="preserve"> temelj</w:t>
      </w:r>
      <w:r w:rsidR="00987F14">
        <w:rPr>
          <w:iCs/>
          <w:sz w:val="24"/>
          <w:szCs w:val="24"/>
        </w:rPr>
        <w:t xml:space="preserve">em ugovora s drugim poslodavcem i </w:t>
      </w:r>
      <w:r w:rsidR="00A03814">
        <w:rPr>
          <w:iCs/>
          <w:sz w:val="24"/>
          <w:szCs w:val="24"/>
        </w:rPr>
        <w:t xml:space="preserve">moguće </w:t>
      </w:r>
      <w:r w:rsidR="00987F14">
        <w:rPr>
          <w:iCs/>
          <w:sz w:val="24"/>
          <w:szCs w:val="24"/>
        </w:rPr>
        <w:t>veće ugovorene cijene rada.</w:t>
      </w:r>
    </w:p>
    <w:p w14:paraId="7D55FD06" w14:textId="723351D3" w:rsidR="00056BC0" w:rsidRPr="000E734F" w:rsidRDefault="00056BC0" w:rsidP="00056BC0">
      <w:pPr>
        <w:rPr>
          <w:iCs/>
          <w:sz w:val="24"/>
          <w:szCs w:val="24"/>
        </w:rPr>
      </w:pPr>
      <w:r w:rsidRPr="000E734F">
        <w:rPr>
          <w:sz w:val="24"/>
          <w:szCs w:val="24"/>
        </w:rPr>
        <w:t xml:space="preserve">U 2026. godini ovi prihodi planirani su nešto većem iznosu u odnosu na 2025. godinu, te iznose 20.500,00 </w:t>
      </w:r>
      <w:r w:rsidRPr="000E734F">
        <w:rPr>
          <w:i/>
          <w:iCs/>
          <w:sz w:val="24"/>
          <w:szCs w:val="24"/>
        </w:rPr>
        <w:t xml:space="preserve">€. </w:t>
      </w:r>
      <w:r w:rsidRPr="000E734F">
        <w:rPr>
          <w:iCs/>
          <w:sz w:val="24"/>
          <w:szCs w:val="24"/>
        </w:rPr>
        <w:t xml:space="preserve">Troškovi namirnica za prehranu zaposlenika i ostali materijalni rashodi planirani su u istim iznosima kao i za 2025. godinu zbog očekivane iste ili manje razine aktivnosti zbog koji ti troškovi nastaju. Više su planirani rashodi naknada za rad zatvorenika s osnove pružanja usluga fizčkog rada u iznosu od 12.500,00 </w:t>
      </w:r>
      <w:r w:rsidRPr="000E734F">
        <w:rPr>
          <w:i/>
          <w:iCs/>
          <w:sz w:val="24"/>
          <w:szCs w:val="24"/>
        </w:rPr>
        <w:t xml:space="preserve">€ </w:t>
      </w:r>
      <w:r w:rsidRPr="000E734F">
        <w:rPr>
          <w:iCs/>
          <w:sz w:val="24"/>
          <w:szCs w:val="24"/>
        </w:rPr>
        <w:t>zbog pretpostavke rasta aktivnosti radnoga angažiranja</w:t>
      </w:r>
      <w:r w:rsidR="006C243F" w:rsidRPr="000E734F">
        <w:rPr>
          <w:iCs/>
          <w:sz w:val="24"/>
          <w:szCs w:val="24"/>
        </w:rPr>
        <w:t xml:space="preserve"> zatvorenika</w:t>
      </w:r>
      <w:r w:rsidRPr="000E734F">
        <w:rPr>
          <w:iCs/>
          <w:sz w:val="24"/>
          <w:szCs w:val="24"/>
        </w:rPr>
        <w:t xml:space="preserve"> temelj</w:t>
      </w:r>
      <w:r w:rsidR="00987F14">
        <w:rPr>
          <w:iCs/>
          <w:sz w:val="24"/>
          <w:szCs w:val="24"/>
        </w:rPr>
        <w:t xml:space="preserve">em ugovora s drugim poslodavcem i </w:t>
      </w:r>
      <w:r w:rsidR="00A03814">
        <w:rPr>
          <w:iCs/>
          <w:sz w:val="24"/>
          <w:szCs w:val="24"/>
        </w:rPr>
        <w:t xml:space="preserve">moguće </w:t>
      </w:r>
      <w:r w:rsidR="00987F14">
        <w:rPr>
          <w:iCs/>
          <w:sz w:val="24"/>
          <w:szCs w:val="24"/>
        </w:rPr>
        <w:t>veće ugovorene cijene rada.</w:t>
      </w:r>
    </w:p>
    <w:p w14:paraId="07406FDF" w14:textId="77777777" w:rsidR="007C4BD2" w:rsidRPr="000E734F" w:rsidRDefault="007C4BD2" w:rsidP="00E73403">
      <w:pPr>
        <w:rPr>
          <w:sz w:val="24"/>
          <w:szCs w:val="24"/>
        </w:rPr>
      </w:pPr>
    </w:p>
    <w:p w14:paraId="5D794D0D" w14:textId="77777777" w:rsidR="00652CA6" w:rsidRPr="000E734F" w:rsidRDefault="00652CA6" w:rsidP="00E73403">
      <w:pPr>
        <w:rPr>
          <w:sz w:val="24"/>
          <w:szCs w:val="24"/>
        </w:rPr>
      </w:pPr>
    </w:p>
    <w:p w14:paraId="67FFFACA" w14:textId="4A9A5DF2" w:rsidR="00726272" w:rsidRDefault="009911DB" w:rsidP="00E7340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</w:t>
      </w:r>
      <w:bookmarkStart w:id="2" w:name="_GoBack"/>
      <w:bookmarkEnd w:id="2"/>
      <w:r>
        <w:rPr>
          <w:iCs/>
          <w:sz w:val="24"/>
          <w:szCs w:val="24"/>
        </w:rPr>
        <w:t xml:space="preserve">                            Upravitelj</w:t>
      </w:r>
    </w:p>
    <w:p w14:paraId="338747A6" w14:textId="7C28C400" w:rsidR="009911DB" w:rsidRPr="00051ABD" w:rsidRDefault="009911DB" w:rsidP="00E7340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Drago Ivančić</w:t>
      </w:r>
    </w:p>
    <w:p w14:paraId="14D093A9" w14:textId="77777777" w:rsidR="00051ABD" w:rsidRPr="00051ABD" w:rsidRDefault="00051ABD" w:rsidP="00E73403">
      <w:pPr>
        <w:rPr>
          <w:szCs w:val="22"/>
        </w:rPr>
      </w:pPr>
    </w:p>
    <w:p w14:paraId="2012794E" w14:textId="65DDFF61" w:rsidR="00EE152B" w:rsidRDefault="00EE152B" w:rsidP="00E73403">
      <w:pPr>
        <w:rPr>
          <w:szCs w:val="22"/>
        </w:rPr>
      </w:pPr>
    </w:p>
    <w:p w14:paraId="3F95784B" w14:textId="4FA5E834" w:rsidR="006F1566" w:rsidRPr="00E73403" w:rsidRDefault="006F1566" w:rsidP="006F1566">
      <w:pPr>
        <w:rPr>
          <w:szCs w:val="22"/>
        </w:rPr>
      </w:pPr>
    </w:p>
    <w:sectPr w:rsidR="006F1566" w:rsidRPr="00E7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A"/>
    <w:rsid w:val="00014547"/>
    <w:rsid w:val="000208AF"/>
    <w:rsid w:val="000343E5"/>
    <w:rsid w:val="00051ABD"/>
    <w:rsid w:val="00056BC0"/>
    <w:rsid w:val="000570B4"/>
    <w:rsid w:val="00066238"/>
    <w:rsid w:val="00075399"/>
    <w:rsid w:val="00082BE5"/>
    <w:rsid w:val="00090D4F"/>
    <w:rsid w:val="000A4D6A"/>
    <w:rsid w:val="000B1CBD"/>
    <w:rsid w:val="000D009B"/>
    <w:rsid w:val="000D2414"/>
    <w:rsid w:val="000E4D18"/>
    <w:rsid w:val="000E734F"/>
    <w:rsid w:val="000F0E5E"/>
    <w:rsid w:val="000F7AF5"/>
    <w:rsid w:val="00102F7C"/>
    <w:rsid w:val="00105318"/>
    <w:rsid w:val="00116484"/>
    <w:rsid w:val="001247E6"/>
    <w:rsid w:val="00125808"/>
    <w:rsid w:val="00127057"/>
    <w:rsid w:val="00147D65"/>
    <w:rsid w:val="0017148E"/>
    <w:rsid w:val="001779A0"/>
    <w:rsid w:val="00183C2B"/>
    <w:rsid w:val="00187A9F"/>
    <w:rsid w:val="001A5E07"/>
    <w:rsid w:val="001B27E9"/>
    <w:rsid w:val="001B4455"/>
    <w:rsid w:val="001B6C6A"/>
    <w:rsid w:val="001C051D"/>
    <w:rsid w:val="001C06AC"/>
    <w:rsid w:val="001C070B"/>
    <w:rsid w:val="001E76CC"/>
    <w:rsid w:val="00203EDE"/>
    <w:rsid w:val="00203FF5"/>
    <w:rsid w:val="00222788"/>
    <w:rsid w:val="00230C2D"/>
    <w:rsid w:val="002410EE"/>
    <w:rsid w:val="00241F82"/>
    <w:rsid w:val="00243552"/>
    <w:rsid w:val="00245BD6"/>
    <w:rsid w:val="00246D08"/>
    <w:rsid w:val="002627C4"/>
    <w:rsid w:val="002671F3"/>
    <w:rsid w:val="00267E4B"/>
    <w:rsid w:val="00290270"/>
    <w:rsid w:val="002A0CDF"/>
    <w:rsid w:val="002A779B"/>
    <w:rsid w:val="002B526B"/>
    <w:rsid w:val="002B6F1E"/>
    <w:rsid w:val="002C0D23"/>
    <w:rsid w:val="002C2C31"/>
    <w:rsid w:val="002D3582"/>
    <w:rsid w:val="002E19EB"/>
    <w:rsid w:val="002E40C8"/>
    <w:rsid w:val="002F0D38"/>
    <w:rsid w:val="002F26AE"/>
    <w:rsid w:val="00323AD2"/>
    <w:rsid w:val="00324B5A"/>
    <w:rsid w:val="00330658"/>
    <w:rsid w:val="00336004"/>
    <w:rsid w:val="0033655B"/>
    <w:rsid w:val="00343680"/>
    <w:rsid w:val="003666A2"/>
    <w:rsid w:val="003730C8"/>
    <w:rsid w:val="00374018"/>
    <w:rsid w:val="00394BF2"/>
    <w:rsid w:val="003A1B02"/>
    <w:rsid w:val="003A2663"/>
    <w:rsid w:val="003A407E"/>
    <w:rsid w:val="003B2F16"/>
    <w:rsid w:val="003B3543"/>
    <w:rsid w:val="003B456A"/>
    <w:rsid w:val="003B5CD6"/>
    <w:rsid w:val="003E023C"/>
    <w:rsid w:val="003E1DDA"/>
    <w:rsid w:val="003E5E94"/>
    <w:rsid w:val="003E76DC"/>
    <w:rsid w:val="003F65D4"/>
    <w:rsid w:val="003F73C0"/>
    <w:rsid w:val="00420ACA"/>
    <w:rsid w:val="00421FA7"/>
    <w:rsid w:val="00423984"/>
    <w:rsid w:val="004359EE"/>
    <w:rsid w:val="0044510F"/>
    <w:rsid w:val="00445749"/>
    <w:rsid w:val="00447C90"/>
    <w:rsid w:val="004635FD"/>
    <w:rsid w:val="004643DC"/>
    <w:rsid w:val="0046712B"/>
    <w:rsid w:val="00472AC1"/>
    <w:rsid w:val="004735F2"/>
    <w:rsid w:val="00480D5B"/>
    <w:rsid w:val="00494576"/>
    <w:rsid w:val="004A2FDD"/>
    <w:rsid w:val="004A5EAF"/>
    <w:rsid w:val="004B3431"/>
    <w:rsid w:val="004C61CF"/>
    <w:rsid w:val="004D1A1A"/>
    <w:rsid w:val="004E2B81"/>
    <w:rsid w:val="004F0CE3"/>
    <w:rsid w:val="004F25D1"/>
    <w:rsid w:val="0050391E"/>
    <w:rsid w:val="0053119B"/>
    <w:rsid w:val="005371E2"/>
    <w:rsid w:val="005473BC"/>
    <w:rsid w:val="005502DA"/>
    <w:rsid w:val="005510B4"/>
    <w:rsid w:val="005541D6"/>
    <w:rsid w:val="00560A3D"/>
    <w:rsid w:val="00562D8E"/>
    <w:rsid w:val="00575D58"/>
    <w:rsid w:val="005A037A"/>
    <w:rsid w:val="005A163C"/>
    <w:rsid w:val="005A529C"/>
    <w:rsid w:val="005D412F"/>
    <w:rsid w:val="005E5F71"/>
    <w:rsid w:val="005E7265"/>
    <w:rsid w:val="005F294D"/>
    <w:rsid w:val="005F7B76"/>
    <w:rsid w:val="0061283E"/>
    <w:rsid w:val="00616AB9"/>
    <w:rsid w:val="00626790"/>
    <w:rsid w:val="00631765"/>
    <w:rsid w:val="00633637"/>
    <w:rsid w:val="00642B64"/>
    <w:rsid w:val="00652CA6"/>
    <w:rsid w:val="00671B27"/>
    <w:rsid w:val="00682EA5"/>
    <w:rsid w:val="00685702"/>
    <w:rsid w:val="006B30D5"/>
    <w:rsid w:val="006C1D34"/>
    <w:rsid w:val="006C243F"/>
    <w:rsid w:val="006D525D"/>
    <w:rsid w:val="006E6D6F"/>
    <w:rsid w:val="006F1566"/>
    <w:rsid w:val="006F5BFA"/>
    <w:rsid w:val="00702E47"/>
    <w:rsid w:val="007112D7"/>
    <w:rsid w:val="00715421"/>
    <w:rsid w:val="00716975"/>
    <w:rsid w:val="00726272"/>
    <w:rsid w:val="00730819"/>
    <w:rsid w:val="007310EE"/>
    <w:rsid w:val="00747413"/>
    <w:rsid w:val="00747AE5"/>
    <w:rsid w:val="00773775"/>
    <w:rsid w:val="007751BE"/>
    <w:rsid w:val="0077612B"/>
    <w:rsid w:val="00780A30"/>
    <w:rsid w:val="0079156F"/>
    <w:rsid w:val="00792494"/>
    <w:rsid w:val="007A2DBC"/>
    <w:rsid w:val="007B2A73"/>
    <w:rsid w:val="007B7004"/>
    <w:rsid w:val="007B770D"/>
    <w:rsid w:val="007C25AF"/>
    <w:rsid w:val="007C3ACC"/>
    <w:rsid w:val="007C4BD2"/>
    <w:rsid w:val="007D3D8C"/>
    <w:rsid w:val="007D4E0C"/>
    <w:rsid w:val="007D7D9F"/>
    <w:rsid w:val="007E2B23"/>
    <w:rsid w:val="00802E9F"/>
    <w:rsid w:val="008079BD"/>
    <w:rsid w:val="00840AC1"/>
    <w:rsid w:val="00846638"/>
    <w:rsid w:val="0085497A"/>
    <w:rsid w:val="00877B08"/>
    <w:rsid w:val="00883561"/>
    <w:rsid w:val="0088364E"/>
    <w:rsid w:val="008A3A82"/>
    <w:rsid w:val="008A583F"/>
    <w:rsid w:val="008A6744"/>
    <w:rsid w:val="008B2579"/>
    <w:rsid w:val="008B4D8B"/>
    <w:rsid w:val="008B68BC"/>
    <w:rsid w:val="008D620A"/>
    <w:rsid w:val="008E11DA"/>
    <w:rsid w:val="008E4053"/>
    <w:rsid w:val="008F1913"/>
    <w:rsid w:val="008F4791"/>
    <w:rsid w:val="008F4CF7"/>
    <w:rsid w:val="008F7B70"/>
    <w:rsid w:val="00907DE9"/>
    <w:rsid w:val="009208F3"/>
    <w:rsid w:val="00944E93"/>
    <w:rsid w:val="00946E6E"/>
    <w:rsid w:val="00961E62"/>
    <w:rsid w:val="009629B8"/>
    <w:rsid w:val="009711D4"/>
    <w:rsid w:val="00983755"/>
    <w:rsid w:val="0098542F"/>
    <w:rsid w:val="00987F14"/>
    <w:rsid w:val="009911DB"/>
    <w:rsid w:val="009952FC"/>
    <w:rsid w:val="009A300C"/>
    <w:rsid w:val="009C0429"/>
    <w:rsid w:val="009C6B50"/>
    <w:rsid w:val="009D4286"/>
    <w:rsid w:val="009E02BB"/>
    <w:rsid w:val="009F4914"/>
    <w:rsid w:val="00A0014F"/>
    <w:rsid w:val="00A03814"/>
    <w:rsid w:val="00A13A99"/>
    <w:rsid w:val="00A319CE"/>
    <w:rsid w:val="00A338D8"/>
    <w:rsid w:val="00A52EED"/>
    <w:rsid w:val="00A56673"/>
    <w:rsid w:val="00A647C0"/>
    <w:rsid w:val="00A92045"/>
    <w:rsid w:val="00A95A4C"/>
    <w:rsid w:val="00AA6906"/>
    <w:rsid w:val="00AF28D5"/>
    <w:rsid w:val="00B01ED7"/>
    <w:rsid w:val="00B07DF4"/>
    <w:rsid w:val="00B10C05"/>
    <w:rsid w:val="00B141F6"/>
    <w:rsid w:val="00B2039A"/>
    <w:rsid w:val="00B233FC"/>
    <w:rsid w:val="00B34268"/>
    <w:rsid w:val="00B35383"/>
    <w:rsid w:val="00B555F1"/>
    <w:rsid w:val="00B55E7A"/>
    <w:rsid w:val="00B5787C"/>
    <w:rsid w:val="00B71F85"/>
    <w:rsid w:val="00B72BF0"/>
    <w:rsid w:val="00B837A5"/>
    <w:rsid w:val="00B8661F"/>
    <w:rsid w:val="00BA6909"/>
    <w:rsid w:val="00BD2F59"/>
    <w:rsid w:val="00BE1188"/>
    <w:rsid w:val="00C053D7"/>
    <w:rsid w:val="00C16502"/>
    <w:rsid w:val="00C35F09"/>
    <w:rsid w:val="00C41928"/>
    <w:rsid w:val="00C6443B"/>
    <w:rsid w:val="00C8380E"/>
    <w:rsid w:val="00CA16CE"/>
    <w:rsid w:val="00CC530A"/>
    <w:rsid w:val="00CE1D4A"/>
    <w:rsid w:val="00D21801"/>
    <w:rsid w:val="00D27D48"/>
    <w:rsid w:val="00D339C7"/>
    <w:rsid w:val="00D37064"/>
    <w:rsid w:val="00D37D33"/>
    <w:rsid w:val="00D429C4"/>
    <w:rsid w:val="00D52131"/>
    <w:rsid w:val="00D52174"/>
    <w:rsid w:val="00D55CC0"/>
    <w:rsid w:val="00D67468"/>
    <w:rsid w:val="00D82261"/>
    <w:rsid w:val="00D8378D"/>
    <w:rsid w:val="00D83EF6"/>
    <w:rsid w:val="00D93FFD"/>
    <w:rsid w:val="00D94EDE"/>
    <w:rsid w:val="00D97DFF"/>
    <w:rsid w:val="00D97E9A"/>
    <w:rsid w:val="00DA0242"/>
    <w:rsid w:val="00DA76FE"/>
    <w:rsid w:val="00DC7A61"/>
    <w:rsid w:val="00DD0DA9"/>
    <w:rsid w:val="00DF0557"/>
    <w:rsid w:val="00DF574D"/>
    <w:rsid w:val="00DF7781"/>
    <w:rsid w:val="00E01105"/>
    <w:rsid w:val="00E01214"/>
    <w:rsid w:val="00E0508E"/>
    <w:rsid w:val="00E105E6"/>
    <w:rsid w:val="00E125E1"/>
    <w:rsid w:val="00E37522"/>
    <w:rsid w:val="00E6491E"/>
    <w:rsid w:val="00E73403"/>
    <w:rsid w:val="00E8270E"/>
    <w:rsid w:val="00E86C41"/>
    <w:rsid w:val="00E90EFA"/>
    <w:rsid w:val="00E96B67"/>
    <w:rsid w:val="00EA18BD"/>
    <w:rsid w:val="00EA5B49"/>
    <w:rsid w:val="00EB64F2"/>
    <w:rsid w:val="00ED3662"/>
    <w:rsid w:val="00ED4B46"/>
    <w:rsid w:val="00EE152B"/>
    <w:rsid w:val="00EE6B33"/>
    <w:rsid w:val="00EF39DA"/>
    <w:rsid w:val="00F0265C"/>
    <w:rsid w:val="00F15EFB"/>
    <w:rsid w:val="00F5287C"/>
    <w:rsid w:val="00F52A12"/>
    <w:rsid w:val="00F82283"/>
    <w:rsid w:val="00F84125"/>
    <w:rsid w:val="00F91DEF"/>
    <w:rsid w:val="00F9607A"/>
    <w:rsid w:val="00F964AC"/>
    <w:rsid w:val="00FA4379"/>
    <w:rsid w:val="00FC57A5"/>
    <w:rsid w:val="00FC6664"/>
    <w:rsid w:val="00FD2A0E"/>
    <w:rsid w:val="00FD7CB2"/>
    <w:rsid w:val="00FE13EA"/>
    <w:rsid w:val="00FE2FE6"/>
    <w:rsid w:val="00FE513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Barišić</dc:creator>
  <cp:lastModifiedBy>Senija Šimunović</cp:lastModifiedBy>
  <cp:revision>2</cp:revision>
  <cp:lastPrinted>2023-10-16T11:35:00Z</cp:lastPrinted>
  <dcterms:created xsi:type="dcterms:W3CDTF">2023-12-28T09:33:00Z</dcterms:created>
  <dcterms:modified xsi:type="dcterms:W3CDTF">2023-12-28T09:33:00Z</dcterms:modified>
</cp:coreProperties>
</file>